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D4460D" w14:textId="19B02162" w:rsidR="00BC2F5A" w:rsidRDefault="00BC2F5A" w:rsidP="00BC2F5A">
      <w:pPr>
        <w:pStyle w:val="CH"/>
      </w:pPr>
      <w:bookmarkStart w:id="0" w:name="historyclause"/>
      <w:r w:rsidRPr="00B070F5">
        <w:t>3GPP RAN WG</w:t>
      </w:r>
      <w:r>
        <w:t>4</w:t>
      </w:r>
      <w:r w:rsidRPr="00B070F5">
        <w:t xml:space="preserve"> Meeting #</w:t>
      </w:r>
      <w:r>
        <w:t>9</w:t>
      </w:r>
      <w:r w:rsidR="00F729E9">
        <w:t>8</w:t>
      </w:r>
      <w:r w:rsidR="00E54DB8">
        <w:t>bis-</w:t>
      </w:r>
      <w:r>
        <w:t>e</w:t>
      </w:r>
      <w:r>
        <w:tab/>
      </w:r>
      <w:r>
        <w:tab/>
      </w:r>
      <w:r w:rsidR="00E54DB8" w:rsidRPr="00E54DB8">
        <w:t>R4-2104886</w:t>
      </w:r>
    </w:p>
    <w:p w14:paraId="50DC9730" w14:textId="2FF191E7" w:rsidR="00D309CC" w:rsidRPr="002F2CF6" w:rsidRDefault="001F61DB" w:rsidP="00BC2F5A">
      <w:pPr>
        <w:pStyle w:val="CH"/>
        <w:tabs>
          <w:tab w:val="clear" w:pos="7920"/>
        </w:tabs>
        <w:rPr>
          <w:b w:val="0"/>
        </w:rPr>
      </w:pPr>
      <w:r w:rsidRPr="001F61DB">
        <w:t xml:space="preserve">Electronic meeting, </w:t>
      </w:r>
      <w:r w:rsidR="00E54DB8" w:rsidRPr="00E54DB8">
        <w:t>12 – 20th April 2021</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6BEB8B3B" w:rsidR="00D309CC" w:rsidRPr="002F2CF6" w:rsidRDefault="00D309CC" w:rsidP="00D309CC">
      <w:pPr>
        <w:pStyle w:val="CH"/>
        <w:rPr>
          <w:b w:val="0"/>
        </w:rPr>
      </w:pPr>
      <w:r w:rsidRPr="002F2CF6">
        <w:t>Agenda item:</w:t>
      </w:r>
      <w:r w:rsidRPr="002F2CF6">
        <w:tab/>
      </w:r>
      <w:r w:rsidR="00E54DB8">
        <w:t>9.2.2</w:t>
      </w:r>
    </w:p>
    <w:p w14:paraId="4DBE005A" w14:textId="6DB97929" w:rsidR="00D309CC" w:rsidRPr="002F2CF6" w:rsidRDefault="00D309CC" w:rsidP="00D309CC">
      <w:pPr>
        <w:pStyle w:val="CH"/>
        <w:rPr>
          <w:b w:val="0"/>
        </w:rPr>
      </w:pPr>
      <w:r w:rsidRPr="002F2CF6">
        <w:t>Source:</w:t>
      </w:r>
      <w:r w:rsidRPr="002F2CF6">
        <w:tab/>
        <w:t>Apple</w:t>
      </w:r>
      <w:r w:rsidR="00C50543">
        <w:t xml:space="preserve"> Inc.</w:t>
      </w:r>
    </w:p>
    <w:p w14:paraId="0D2061A1" w14:textId="0708C54D" w:rsidR="00D309CC" w:rsidRPr="002F2CF6" w:rsidRDefault="00D309CC" w:rsidP="00E54DB8">
      <w:pPr>
        <w:pStyle w:val="CH"/>
        <w:ind w:left="2268" w:hanging="2268"/>
      </w:pPr>
      <w:r w:rsidRPr="002F2CF6">
        <w:t>Title:</w:t>
      </w:r>
      <w:r w:rsidRPr="002F2CF6">
        <w:tab/>
      </w:r>
      <w:r w:rsidR="00A32AF0">
        <w:t>Non-standard</w:t>
      </w:r>
      <w:r w:rsidR="00CE2FAD" w:rsidRPr="002F2CF6">
        <w:t xml:space="preserve"> </w:t>
      </w:r>
      <w:r w:rsidR="00EB6386">
        <w:t>s</w:t>
      </w:r>
      <w:r w:rsidR="00196EAF" w:rsidRPr="002F2CF6">
        <w:t>pectrum allocations</w:t>
      </w:r>
      <w:r w:rsidR="00CE2FAD" w:rsidRPr="002F2CF6">
        <w:t xml:space="preserve"> for </w:t>
      </w:r>
      <w:r w:rsidR="0075242E" w:rsidRPr="002F2CF6">
        <w:t>NR bands</w:t>
      </w:r>
      <w:r w:rsidR="00E54DB8">
        <w:t xml:space="preserve"> (larger channel)</w:t>
      </w:r>
    </w:p>
    <w:p w14:paraId="5F82485A" w14:textId="6EF6BCBC" w:rsidR="00B36419" w:rsidRDefault="00B36419" w:rsidP="00D309CC">
      <w:pPr>
        <w:pStyle w:val="CH"/>
      </w:pPr>
      <w:r w:rsidRPr="00B63C83">
        <w:t>WI/SI:</w:t>
      </w:r>
      <w:r w:rsidRPr="00B63C83">
        <w:tab/>
      </w:r>
      <w:proofErr w:type="spellStart"/>
      <w:r w:rsidRPr="00B36419">
        <w:t>FS_NR_eff_BW_util</w:t>
      </w:r>
      <w:proofErr w:type="spellEnd"/>
    </w:p>
    <w:p w14:paraId="3FFD491D" w14:textId="4215F5C4" w:rsidR="00253BAB" w:rsidRDefault="00253BAB" w:rsidP="00D309CC">
      <w:pPr>
        <w:pStyle w:val="CH"/>
      </w:pPr>
      <w:r>
        <w:t>Release:</w:t>
      </w:r>
      <w:r>
        <w:tab/>
        <w:t>Rel-17</w:t>
      </w:r>
    </w:p>
    <w:p w14:paraId="2E4E044D" w14:textId="1726A10E" w:rsidR="00D309CC" w:rsidRPr="002F2CF6" w:rsidRDefault="00D309CC" w:rsidP="00D309CC">
      <w:pPr>
        <w:pStyle w:val="CH"/>
      </w:pPr>
      <w:r w:rsidRPr="002F2CF6">
        <w:t>Document for:</w:t>
      </w:r>
      <w:r w:rsidRPr="002F2CF6">
        <w:tab/>
      </w:r>
      <w:r w:rsidR="00F209F3">
        <w:t>Discussion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08D6EFFA" w:rsidR="008B4D9E" w:rsidRDefault="00C76D42" w:rsidP="0068207C">
      <w:r>
        <w:t xml:space="preserve">During previous RAN TSG and WG4 meetings, several operators expressed an interest in enabling more efficient utilization of "non-standard" channel bandwidths, i.e. the ones which are not present now in TS 38.101 specifications. </w:t>
      </w:r>
      <w:r w:rsidR="001E7EB8">
        <w:t xml:space="preserve">Referring to the corresponding operator requests, </w:t>
      </w:r>
      <w:r>
        <w:t xml:space="preserve">the following channel bandwidths </w:t>
      </w:r>
      <w:r w:rsidR="001E7EB8">
        <w:t>were</w:t>
      </w:r>
      <w:r>
        <w:t xml:space="preserve"> suggested by operators: </w:t>
      </w:r>
      <w:r w:rsidR="003F1D6E">
        <w:t>6</w:t>
      </w:r>
      <w:r>
        <w:t>, 7, 11, 1</w:t>
      </w:r>
      <w:r w:rsidR="003F1D6E">
        <w:t>2</w:t>
      </w:r>
      <w:r>
        <w:t>, 1</w:t>
      </w:r>
      <w:r w:rsidR="003F1D6E">
        <w:t>3</w:t>
      </w:r>
      <w:r>
        <w:t xml:space="preserve">, 33, 35, </w:t>
      </w:r>
      <w:r w:rsidR="001E7EB8">
        <w:t>45. After the RAN#88 meeting, a new WI was agreed to add explicitly 35 and 45MHz channel bandwidth into the 3GPP specifications</w:t>
      </w:r>
      <w:r w:rsidR="009F1642">
        <w:t xml:space="preserve"> </w:t>
      </w:r>
      <w:r w:rsidR="009F1642">
        <w:fldChar w:fldCharType="begin"/>
      </w:r>
      <w:r w:rsidR="009F1642">
        <w:instrText xml:space="preserve"> REF _Ref54370364 \r \h </w:instrText>
      </w:r>
      <w:r w:rsidR="009F1642">
        <w:fldChar w:fldCharType="separate"/>
      </w:r>
      <w:r w:rsidR="009F1642">
        <w:t>[1]</w:t>
      </w:r>
      <w:r w:rsidR="009F1642">
        <w:fldChar w:fldCharType="end"/>
      </w:r>
      <w:r w:rsidR="000A3ADF">
        <w:t>.</w:t>
      </w:r>
      <w:r w:rsidR="001E7EB8">
        <w:t xml:space="preserve"> At the same time, for "non-standard" channel bandwidths, </w:t>
      </w:r>
      <w:r w:rsidR="003F1D6E">
        <w:t>which are not multiple of 5MHz</w:t>
      </w:r>
      <w:r w:rsidR="001E7EB8">
        <w:t>, a new SI was agreed at the RAN#89 meeting aiming to study further which existing solutions can be used and whether new mechanism should be devised</w:t>
      </w:r>
      <w:r w:rsidR="009F1642">
        <w:t xml:space="preserve"> </w:t>
      </w:r>
      <w:r w:rsidR="009F1642">
        <w:fldChar w:fldCharType="begin"/>
      </w:r>
      <w:r w:rsidR="009F1642">
        <w:instrText xml:space="preserve"> REF _Ref54370374 \r \h </w:instrText>
      </w:r>
      <w:r w:rsidR="009F1642">
        <w:fldChar w:fldCharType="separate"/>
      </w:r>
      <w:r w:rsidR="009F1642">
        <w:t>[2]</w:t>
      </w:r>
      <w:r w:rsidR="009F1642">
        <w:fldChar w:fldCharType="end"/>
      </w:r>
      <w:r w:rsidR="001E7EB8">
        <w:t>.</w:t>
      </w:r>
      <w:r w:rsidR="000A3ADF">
        <w:t xml:space="preserve"> </w:t>
      </w:r>
    </w:p>
    <w:p w14:paraId="6FC93710" w14:textId="5847CB5C" w:rsidR="0068207C" w:rsidRPr="00A6171D" w:rsidRDefault="00C76D42" w:rsidP="0068207C">
      <w:r>
        <w:t>Most solutions and methods can be coarsely classified</w:t>
      </w:r>
      <w:r w:rsidR="008B4D9E">
        <w:t xml:space="preserve"> into the ones that require introduction of new channel bandwidths (either to the BS side only, or both to the UE and BS specifications) and the ones that leverage existing mechanism. </w:t>
      </w:r>
      <w:r w:rsidR="00EA7CBD">
        <w:t>Adding new channel bandwidths, at least to the UE side, will require non-trivial efforts increasing further implementation and testing efforts. Thus, in</w:t>
      </w:r>
      <w:r w:rsidR="008B4D9E">
        <w:t xml:space="preserve"> t</w:t>
      </w:r>
      <w:r w:rsidR="00196EAF" w:rsidRPr="002F2CF6">
        <w:t>his paper</w:t>
      </w:r>
      <w:r w:rsidR="008B4D9E">
        <w:t xml:space="preserve"> we provide a general overview of</w:t>
      </w:r>
      <w:r w:rsidR="00196EAF" w:rsidRPr="002F2CF6">
        <w:t xml:space="preserve"> </w:t>
      </w:r>
      <w:r w:rsidR="006C0661" w:rsidRPr="00A6171D">
        <w:t>ways how to use the spectrum efficiently</w:t>
      </w:r>
      <w:r w:rsidR="006C0661" w:rsidRPr="002F2CF6">
        <w:t xml:space="preserve"> </w:t>
      </w:r>
      <w:r w:rsidR="00196EAF" w:rsidRPr="002F2CF6">
        <w:t xml:space="preserve">without specifying new </w:t>
      </w:r>
      <w:r w:rsidR="00721F55" w:rsidRPr="002F2CF6">
        <w:t xml:space="preserve">UE </w:t>
      </w:r>
      <w:r w:rsidR="006C0661">
        <w:t xml:space="preserve">channel </w:t>
      </w:r>
      <w:r w:rsidR="00A62A0A">
        <w:t>bandwidths</w:t>
      </w:r>
      <w:r w:rsidR="006C0661">
        <w:t>.</w:t>
      </w:r>
      <w:r w:rsidR="002E7463">
        <w:t xml:space="preserve"> </w:t>
      </w:r>
    </w:p>
    <w:p w14:paraId="7441C83B" w14:textId="1AAB7C7E" w:rsidR="000B14F0" w:rsidRDefault="000B14F0" w:rsidP="000B14F0"/>
    <w:p w14:paraId="617B127A" w14:textId="732DC23F" w:rsidR="000B14F0" w:rsidRDefault="000B14F0" w:rsidP="00906293">
      <w:pPr>
        <w:pStyle w:val="Heading1"/>
      </w:pPr>
      <w:r>
        <w:t>2</w:t>
      </w:r>
      <w:r>
        <w:tab/>
        <w:t xml:space="preserve">Using the next smaller and next larger bandwidth </w:t>
      </w:r>
    </w:p>
    <w:p w14:paraId="4980B035" w14:textId="695336F0" w:rsidR="000B14F0" w:rsidRDefault="000B14F0" w:rsidP="000B14F0">
      <w:r>
        <w:t>Using next smaller bandwidth is effectively an existing solution, according to which an operator configures channel bandwidth</w:t>
      </w:r>
      <w:r w:rsidRPr="00FA0D4A">
        <w:t xml:space="preserve"> </w:t>
      </w:r>
      <w:r>
        <w:t xml:space="preserve">(both </w:t>
      </w:r>
      <w:r w:rsidRPr="00FA0D4A">
        <w:t>BS and the UE</w:t>
      </w:r>
      <w:r>
        <w:t>)</w:t>
      </w:r>
      <w:r w:rsidRPr="00FA0D4A">
        <w:t xml:space="preserve"> </w:t>
      </w:r>
      <w:r>
        <w:t>with</w:t>
      </w:r>
      <w:r w:rsidRPr="00FA0D4A">
        <w:t xml:space="preserve"> the next smaller </w:t>
      </w:r>
      <w:r>
        <w:t xml:space="preserve">bandwidth </w:t>
      </w:r>
      <w:r w:rsidRPr="00FA0D4A">
        <w:t xml:space="preserve">than the available spectrum. This may be acceptable, if the spectrum is only slightly larger than the next smaller bandwidth, for example if the spectrum is 11MHz and 10 MHz is used. </w:t>
      </w:r>
      <w:r w:rsidR="009D2A34">
        <w:t>At the same time, if an operator has 7MHz, then using 5MHz channel bandwidth will result in worse spectral utilisation.</w:t>
      </w:r>
    </w:p>
    <w:p w14:paraId="68F4AB95" w14:textId="5F179FA6" w:rsidR="000B14F0" w:rsidRDefault="007F23A8" w:rsidP="000B14F0">
      <w:pPr>
        <w:jc w:val="center"/>
      </w:pPr>
      <w:r>
        <w:rPr>
          <w:noProof/>
        </w:rPr>
        <w:drawing>
          <wp:inline distT="0" distB="0" distL="0" distR="0" wp14:anchorId="285488FC" wp14:editId="079F7AA7">
            <wp:extent cx="787400" cy="711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ext_smaller.eps"/>
                    <pic:cNvPicPr/>
                  </pic:nvPicPr>
                  <pic:blipFill>
                    <a:blip r:embed="rId9">
                      <a:extLst>
                        <a:ext uri="{28A0092B-C50C-407E-A947-70E740481C1C}">
                          <a14:useLocalDpi xmlns:a14="http://schemas.microsoft.com/office/drawing/2010/main" val="0"/>
                        </a:ext>
                      </a:extLst>
                    </a:blip>
                    <a:stretch>
                      <a:fillRect/>
                    </a:stretch>
                  </pic:blipFill>
                  <pic:spPr>
                    <a:xfrm>
                      <a:off x="0" y="0"/>
                      <a:ext cx="787400" cy="711200"/>
                    </a:xfrm>
                    <a:prstGeom prst="rect">
                      <a:avLst/>
                    </a:prstGeom>
                  </pic:spPr>
                </pic:pic>
              </a:graphicData>
            </a:graphic>
          </wp:inline>
        </w:drawing>
      </w:r>
    </w:p>
    <w:p w14:paraId="0D67542A" w14:textId="548FC0CF" w:rsidR="000B14F0" w:rsidRPr="00FA0D4A" w:rsidRDefault="000B14F0" w:rsidP="000B14F0">
      <w:pPr>
        <w:pStyle w:val="TF"/>
      </w:pPr>
      <w:r w:rsidRPr="00F67EF5">
        <w:t xml:space="preserve">Figure </w:t>
      </w:r>
      <w:r>
        <w:t>2-1</w:t>
      </w:r>
      <w:r w:rsidRPr="00F67EF5">
        <w:t xml:space="preserve">: </w:t>
      </w:r>
      <w:r>
        <w:t>Using the next smaller channel bandwidth</w:t>
      </w:r>
      <w:r w:rsidRPr="00F67EF5">
        <w:t xml:space="preserve"> </w:t>
      </w:r>
      <w:r>
        <w:t>(example</w:t>
      </w:r>
      <w:r w:rsidRPr="00F67EF5">
        <w:t xml:space="preserve"> </w:t>
      </w:r>
      <w:r w:rsidR="007F23A8">
        <w:t>7</w:t>
      </w:r>
      <w:r w:rsidRPr="00F67EF5">
        <w:t>MHz</w:t>
      </w:r>
      <w:r>
        <w:t>).</w:t>
      </w:r>
    </w:p>
    <w:p w14:paraId="3F32C919" w14:textId="38F16809" w:rsidR="000B14F0" w:rsidRPr="00F67EF5" w:rsidRDefault="000B14F0" w:rsidP="000B14F0">
      <w:pPr>
        <w:pStyle w:val="Observation"/>
        <w:rPr>
          <w:noProof/>
        </w:rPr>
      </w:pPr>
      <w:r w:rsidRPr="00F67EF5">
        <w:rPr>
          <w:noProof/>
        </w:rPr>
        <w:t xml:space="preserve">Observation </w:t>
      </w:r>
      <w:r w:rsidR="00906293">
        <w:rPr>
          <w:noProof/>
        </w:rPr>
        <w:t>1</w:t>
      </w:r>
      <w:r w:rsidRPr="00F67EF5">
        <w:rPr>
          <w:noProof/>
        </w:rPr>
        <w:t>:</w:t>
      </w:r>
      <w:r w:rsidRPr="00F67EF5">
        <w:rPr>
          <w:noProof/>
        </w:rPr>
        <w:tab/>
        <w:t xml:space="preserve">Using the next smaller </w:t>
      </w:r>
      <w:r>
        <w:rPr>
          <w:noProof/>
        </w:rPr>
        <w:t xml:space="preserve">channel </w:t>
      </w:r>
      <w:r w:rsidRPr="00F67EF5">
        <w:rPr>
          <w:noProof/>
        </w:rPr>
        <w:t xml:space="preserve">bandwidth </w:t>
      </w:r>
      <w:r>
        <w:rPr>
          <w:noProof/>
        </w:rPr>
        <w:t xml:space="preserve">can be acceptable when the difference between the bandwidth of the operator’s spectrum and the next lower channel bandwidth is not large. </w:t>
      </w:r>
    </w:p>
    <w:p w14:paraId="7C56082D" w14:textId="77777777" w:rsidR="000B14F0" w:rsidRDefault="000B14F0" w:rsidP="000B14F0"/>
    <w:p w14:paraId="7E0AFCA0" w14:textId="29E4B42B" w:rsidR="009D2A34" w:rsidRPr="00EF4C60" w:rsidRDefault="009D2A34" w:rsidP="009D2A34">
      <w:r>
        <w:t xml:space="preserve">Using the next larger channel bandwidth can be also regarded as the existing solution. The premise idea is that the system is configured with the larger channel bandwidth, but the actual number of scheduled RBs is restricted so that it matches actual spectrum allocation ensuring sufficiently large guard bands. </w:t>
      </w:r>
      <w:r w:rsidR="000153AE">
        <w:t xml:space="preserve">Using the next larger </w:t>
      </w:r>
      <w:r w:rsidR="008A311D">
        <w:t>channel bandwidth</w:t>
      </w:r>
      <w:r w:rsidR="000153AE">
        <w:t xml:space="preserve"> is </w:t>
      </w:r>
      <w:r w:rsidR="008A311D">
        <w:t>preferable</w:t>
      </w:r>
      <w:r w:rsidR="000153AE">
        <w:t xml:space="preserve"> when the operator’s spectrum size is close</w:t>
      </w:r>
      <w:r w:rsidR="008A311D">
        <w:t xml:space="preserve"> to it, </w:t>
      </w:r>
      <w:r w:rsidR="000153AE">
        <w:t xml:space="preserve">for example when the operator has 13MHz and the next larger </w:t>
      </w:r>
      <w:r w:rsidR="008A311D">
        <w:t>channel</w:t>
      </w:r>
      <w:r w:rsidR="000153AE">
        <w:t xml:space="preserve"> is 15MHz</w:t>
      </w:r>
      <w:r w:rsidR="008A311D">
        <w:t>.</w:t>
      </w:r>
      <w:r w:rsidR="000153AE">
        <w:t xml:space="preserve"> </w:t>
      </w:r>
    </w:p>
    <w:p w14:paraId="068A911F" w14:textId="24AC9ADC" w:rsidR="009D2A34" w:rsidRPr="007A0324" w:rsidRDefault="007F23A8" w:rsidP="009D2A34">
      <w:pPr>
        <w:jc w:val="center"/>
        <w:rPr>
          <w:color w:val="FF0000"/>
        </w:rPr>
      </w:pPr>
      <w:r>
        <w:rPr>
          <w:noProof/>
          <w:color w:val="FF0000"/>
        </w:rPr>
        <w:lastRenderedPageBreak/>
        <w:drawing>
          <wp:inline distT="0" distB="0" distL="0" distR="0" wp14:anchorId="0CBDACFC" wp14:editId="5A397937">
            <wp:extent cx="1308100" cy="71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xt_larger.eps"/>
                    <pic:cNvPicPr/>
                  </pic:nvPicPr>
                  <pic:blipFill>
                    <a:blip r:embed="rId10">
                      <a:extLst>
                        <a:ext uri="{28A0092B-C50C-407E-A947-70E740481C1C}">
                          <a14:useLocalDpi xmlns:a14="http://schemas.microsoft.com/office/drawing/2010/main" val="0"/>
                        </a:ext>
                      </a:extLst>
                    </a:blip>
                    <a:stretch>
                      <a:fillRect/>
                    </a:stretch>
                  </pic:blipFill>
                  <pic:spPr>
                    <a:xfrm>
                      <a:off x="0" y="0"/>
                      <a:ext cx="1308100" cy="711200"/>
                    </a:xfrm>
                    <a:prstGeom prst="rect">
                      <a:avLst/>
                    </a:prstGeom>
                  </pic:spPr>
                </pic:pic>
              </a:graphicData>
            </a:graphic>
          </wp:inline>
        </w:drawing>
      </w:r>
    </w:p>
    <w:p w14:paraId="733CC97F" w14:textId="57C672E4" w:rsidR="009D2A34" w:rsidRDefault="009D2A34" w:rsidP="009D2A34">
      <w:pPr>
        <w:pStyle w:val="TF"/>
      </w:pPr>
      <w:r w:rsidRPr="00F67EF5">
        <w:t xml:space="preserve">Figure </w:t>
      </w:r>
      <w:r>
        <w:t>2-2</w:t>
      </w:r>
      <w:r w:rsidRPr="00F67EF5">
        <w:t xml:space="preserve">: </w:t>
      </w:r>
      <w:r>
        <w:t>Using the next larger channel bandwidth</w:t>
      </w:r>
      <w:r w:rsidRPr="00F67EF5">
        <w:t xml:space="preserve"> </w:t>
      </w:r>
      <w:r>
        <w:t>(example</w:t>
      </w:r>
      <w:r w:rsidRPr="00F67EF5">
        <w:t xml:space="preserve"> </w:t>
      </w:r>
      <w:r>
        <w:t xml:space="preserve">for </w:t>
      </w:r>
      <w:r w:rsidR="007F23A8">
        <w:t>7</w:t>
      </w:r>
      <w:r w:rsidRPr="00F67EF5">
        <w:t>MHz</w:t>
      </w:r>
      <w:r>
        <w:t>).</w:t>
      </w:r>
    </w:p>
    <w:p w14:paraId="6B8C43CA" w14:textId="77777777" w:rsidR="009D2A34" w:rsidRDefault="009D2A34" w:rsidP="000B14F0"/>
    <w:p w14:paraId="01E1AFEA" w14:textId="7D9F83B2" w:rsidR="009D2A34" w:rsidRDefault="009D2A34" w:rsidP="000B14F0">
      <w:r>
        <w:t>Despite the simplicity of this approach, the following issues have to be checked further:</w:t>
      </w:r>
    </w:p>
    <w:p w14:paraId="67B7C613" w14:textId="316F3BBA" w:rsidR="009D2A34" w:rsidRDefault="009D2A34" w:rsidP="009D2A34">
      <w:pPr>
        <w:pStyle w:val="B1"/>
      </w:pPr>
      <w:r>
        <w:t>a)</w:t>
      </w:r>
      <w:r>
        <w:tab/>
      </w:r>
      <w:r w:rsidRPr="009D2A34">
        <w:t>Guard bands and number of schedulable RBs.</w:t>
      </w:r>
      <w:r>
        <w:t xml:space="preserve"> One of the first questions that an operator and the network </w:t>
      </w:r>
      <w:r w:rsidR="00233CDA">
        <w:t>side vendors</w:t>
      </w:r>
      <w:r>
        <w:t xml:space="preserve"> will need to answer is how many RBs we can schedule. As an example, if an operator has 13MHz and the system is configured with 15MHz@15kHz SCS, then we cannot use all 79 RBs. The number of "available" RBs can be calculated based on certain assumptions, but 3GPP has to agree on them to ensure homogenous behaviour irrespective of the operator and the network vendor. One of the biggest challenges here is which guard bands we can/shall assume. Using </w:t>
      </w:r>
      <w:r w:rsidR="00233CDA">
        <w:t xml:space="preserve">the </w:t>
      </w:r>
      <w:r>
        <w:t xml:space="preserve">next lower channel guard bands </w:t>
      </w:r>
      <w:r w:rsidR="001560B6">
        <w:t>is</w:t>
      </w:r>
      <w:r>
        <w:t xml:space="preserve"> not acceptable as it will most likely result in violated requirements. It is possible to define new guard bands for a specific spectrum allocation, but the resulting amount of work can be fairly large if it has to be done for every potential allocation. Thus, one of the easiest ways would be to assume guard bands of next larger channel.  </w:t>
      </w:r>
      <w:r w:rsidR="00E90DAA">
        <w:t>Table 2-1 below presents exemplary number of RBs for several non-standard channel bandwidths based on the corresponding next larger channel.</w:t>
      </w:r>
      <w:r>
        <w:t xml:space="preserve"> </w:t>
      </w:r>
      <w:r w:rsidR="00D47864">
        <w:t>As can be seen from the table, this approach works for 15kHz SCS resulting in a relatively good channel utilisation, especially for larger channel bandwidths.</w:t>
      </w:r>
    </w:p>
    <w:p w14:paraId="453029DC" w14:textId="736469EA" w:rsidR="00E90DAA" w:rsidRDefault="00E90DAA" w:rsidP="00E90DAA">
      <w:pPr>
        <w:pStyle w:val="TH"/>
      </w:pPr>
      <w:r>
        <w:t>Table 2-1: Exemplary number of RBs based on the next larger channel guard bands (15kHz SCS).</w:t>
      </w:r>
    </w:p>
    <w:tbl>
      <w:tblPr>
        <w:tblStyle w:val="TableGrid"/>
        <w:tblW w:w="0" w:type="auto"/>
        <w:tblInd w:w="562" w:type="dxa"/>
        <w:tblLook w:val="04A0" w:firstRow="1" w:lastRow="0" w:firstColumn="1" w:lastColumn="0" w:noHBand="0" w:noVBand="1"/>
      </w:tblPr>
      <w:tblGrid>
        <w:gridCol w:w="993"/>
        <w:gridCol w:w="1196"/>
        <w:gridCol w:w="1497"/>
        <w:gridCol w:w="1255"/>
        <w:gridCol w:w="1155"/>
        <w:gridCol w:w="1417"/>
        <w:gridCol w:w="1134"/>
      </w:tblGrid>
      <w:tr w:rsidR="00E90DAA" w14:paraId="74CBFBE9" w14:textId="77777777" w:rsidTr="00E90DAA">
        <w:tc>
          <w:tcPr>
            <w:tcW w:w="993" w:type="dxa"/>
          </w:tcPr>
          <w:p w14:paraId="17C73F81" w14:textId="70736ED0" w:rsidR="00E90DAA" w:rsidRPr="00E90DAA" w:rsidRDefault="00E90DAA" w:rsidP="00E90DAA">
            <w:pPr>
              <w:pStyle w:val="TAH"/>
            </w:pPr>
            <w:r>
              <w:t>Channel (MHz)</w:t>
            </w:r>
          </w:p>
        </w:tc>
        <w:tc>
          <w:tcPr>
            <w:tcW w:w="1196" w:type="dxa"/>
          </w:tcPr>
          <w:p w14:paraId="51DBE771" w14:textId="00389C40" w:rsidR="00E90DAA" w:rsidRPr="00E90DAA" w:rsidRDefault="00E90DAA" w:rsidP="00E90DAA">
            <w:pPr>
              <w:pStyle w:val="TAH"/>
            </w:pPr>
            <w:r>
              <w:t>Next larger channel (MHz)</w:t>
            </w:r>
          </w:p>
        </w:tc>
        <w:tc>
          <w:tcPr>
            <w:tcW w:w="1497" w:type="dxa"/>
          </w:tcPr>
          <w:p w14:paraId="7C4AC100" w14:textId="139019E2" w:rsidR="00E90DAA" w:rsidRPr="00E90DAA" w:rsidRDefault="00E90DAA" w:rsidP="00E90DAA">
            <w:pPr>
              <w:pStyle w:val="TAH"/>
            </w:pPr>
            <w:r>
              <w:t>Next larger channel guard band (kHz)</w:t>
            </w:r>
          </w:p>
        </w:tc>
        <w:tc>
          <w:tcPr>
            <w:tcW w:w="1255" w:type="dxa"/>
          </w:tcPr>
          <w:p w14:paraId="5ADB0CDE" w14:textId="7417727E" w:rsidR="00E90DAA" w:rsidRPr="00E90DAA" w:rsidRDefault="00E90DAA" w:rsidP="00E90DAA">
            <w:pPr>
              <w:pStyle w:val="TAH"/>
            </w:pPr>
            <w:r>
              <w:t xml:space="preserve">Next larger channel </w:t>
            </w:r>
            <w:proofErr w:type="spellStart"/>
            <w:r>
              <w:t>Nrb</w:t>
            </w:r>
            <w:proofErr w:type="spellEnd"/>
          </w:p>
        </w:tc>
        <w:tc>
          <w:tcPr>
            <w:tcW w:w="1155" w:type="dxa"/>
          </w:tcPr>
          <w:p w14:paraId="208981D5" w14:textId="3C9C7754" w:rsidR="00E90DAA" w:rsidRPr="00E90DAA" w:rsidRDefault="00E90DAA" w:rsidP="00E90DAA">
            <w:pPr>
              <w:pStyle w:val="TAH"/>
            </w:pPr>
            <w:r>
              <w:t xml:space="preserve">Channel </w:t>
            </w:r>
            <w:proofErr w:type="spellStart"/>
            <w:r>
              <w:t>Nrb</w:t>
            </w:r>
            <w:proofErr w:type="spellEnd"/>
          </w:p>
        </w:tc>
        <w:tc>
          <w:tcPr>
            <w:tcW w:w="1417" w:type="dxa"/>
          </w:tcPr>
          <w:p w14:paraId="56469268" w14:textId="5730D967" w:rsidR="00E90DAA" w:rsidRPr="00E90DAA" w:rsidRDefault="00E90DAA" w:rsidP="00E90DAA">
            <w:pPr>
              <w:pStyle w:val="TAH"/>
            </w:pPr>
            <w:r>
              <w:t>Channel guard bands (kHz)</w:t>
            </w:r>
          </w:p>
        </w:tc>
        <w:tc>
          <w:tcPr>
            <w:tcW w:w="1134" w:type="dxa"/>
          </w:tcPr>
          <w:p w14:paraId="6C6B8B4D" w14:textId="2F641947" w:rsidR="00E90DAA" w:rsidRPr="00E90DAA" w:rsidRDefault="00E90DAA" w:rsidP="00E90DAA">
            <w:pPr>
              <w:pStyle w:val="TAH"/>
            </w:pPr>
            <w:r>
              <w:t>Utilisation (%)</w:t>
            </w:r>
          </w:p>
        </w:tc>
      </w:tr>
      <w:tr w:rsidR="00E90DAA" w14:paraId="66B8C50C" w14:textId="77777777" w:rsidTr="00E90DAA">
        <w:tc>
          <w:tcPr>
            <w:tcW w:w="993" w:type="dxa"/>
          </w:tcPr>
          <w:p w14:paraId="508C0C0F" w14:textId="63C8E1D5" w:rsidR="00E90DAA" w:rsidRDefault="00E90DAA" w:rsidP="00E90DAA">
            <w:pPr>
              <w:pStyle w:val="TAC"/>
            </w:pPr>
            <w:r w:rsidRPr="004C73B0">
              <w:t>6</w:t>
            </w:r>
          </w:p>
        </w:tc>
        <w:tc>
          <w:tcPr>
            <w:tcW w:w="1196" w:type="dxa"/>
          </w:tcPr>
          <w:p w14:paraId="27B78360" w14:textId="2C8C861E" w:rsidR="00E90DAA" w:rsidRDefault="00E90DAA" w:rsidP="00E90DAA">
            <w:pPr>
              <w:pStyle w:val="TAC"/>
            </w:pPr>
            <w:r w:rsidRPr="004C73B0">
              <w:t>10</w:t>
            </w:r>
          </w:p>
        </w:tc>
        <w:tc>
          <w:tcPr>
            <w:tcW w:w="1497" w:type="dxa"/>
          </w:tcPr>
          <w:p w14:paraId="4637D13E" w14:textId="2601E94B" w:rsidR="00E90DAA" w:rsidRDefault="00E90DAA" w:rsidP="00E90DAA">
            <w:pPr>
              <w:pStyle w:val="TAC"/>
            </w:pPr>
            <w:r w:rsidRPr="004C73B0">
              <w:t>312,5</w:t>
            </w:r>
          </w:p>
        </w:tc>
        <w:tc>
          <w:tcPr>
            <w:tcW w:w="1255" w:type="dxa"/>
          </w:tcPr>
          <w:p w14:paraId="6663096B" w14:textId="325FA529" w:rsidR="00E90DAA" w:rsidRDefault="00E90DAA" w:rsidP="00E90DAA">
            <w:pPr>
              <w:pStyle w:val="TAC"/>
            </w:pPr>
            <w:r w:rsidRPr="004C73B0">
              <w:t>52</w:t>
            </w:r>
          </w:p>
        </w:tc>
        <w:tc>
          <w:tcPr>
            <w:tcW w:w="1155" w:type="dxa"/>
          </w:tcPr>
          <w:p w14:paraId="006D3C2B" w14:textId="1A4FD13E" w:rsidR="00E90DAA" w:rsidRDefault="00E90DAA" w:rsidP="00E90DAA">
            <w:pPr>
              <w:pStyle w:val="TAC"/>
            </w:pPr>
            <w:r w:rsidRPr="004C73B0">
              <w:t>29</w:t>
            </w:r>
          </w:p>
        </w:tc>
        <w:tc>
          <w:tcPr>
            <w:tcW w:w="1417" w:type="dxa"/>
          </w:tcPr>
          <w:p w14:paraId="79A9FF7B" w14:textId="031AE59C" w:rsidR="00E90DAA" w:rsidRDefault="00E90DAA" w:rsidP="00E90DAA">
            <w:pPr>
              <w:pStyle w:val="TAC"/>
            </w:pPr>
            <w:r w:rsidRPr="004C73B0">
              <w:t>382,5</w:t>
            </w:r>
          </w:p>
        </w:tc>
        <w:tc>
          <w:tcPr>
            <w:tcW w:w="1134" w:type="dxa"/>
          </w:tcPr>
          <w:p w14:paraId="09BB04EE" w14:textId="39E739FC" w:rsidR="00E90DAA" w:rsidRDefault="00E90DAA" w:rsidP="00E90DAA">
            <w:pPr>
              <w:pStyle w:val="TAC"/>
            </w:pPr>
            <w:r w:rsidRPr="004C73B0">
              <w:t>87</w:t>
            </w:r>
          </w:p>
        </w:tc>
      </w:tr>
      <w:tr w:rsidR="00E90DAA" w14:paraId="276EE723" w14:textId="77777777" w:rsidTr="00E90DAA">
        <w:tc>
          <w:tcPr>
            <w:tcW w:w="993" w:type="dxa"/>
          </w:tcPr>
          <w:p w14:paraId="596C4C1A" w14:textId="76A847BF" w:rsidR="00E90DAA" w:rsidRDefault="00E90DAA" w:rsidP="00E90DAA">
            <w:pPr>
              <w:pStyle w:val="TAC"/>
            </w:pPr>
            <w:r w:rsidRPr="004C73B0">
              <w:t>7</w:t>
            </w:r>
          </w:p>
        </w:tc>
        <w:tc>
          <w:tcPr>
            <w:tcW w:w="1196" w:type="dxa"/>
          </w:tcPr>
          <w:p w14:paraId="2AB06D1E" w14:textId="30D55B01" w:rsidR="00E90DAA" w:rsidRDefault="00E90DAA" w:rsidP="00E90DAA">
            <w:pPr>
              <w:pStyle w:val="TAC"/>
            </w:pPr>
            <w:r w:rsidRPr="004C73B0">
              <w:t>10</w:t>
            </w:r>
          </w:p>
        </w:tc>
        <w:tc>
          <w:tcPr>
            <w:tcW w:w="1497" w:type="dxa"/>
          </w:tcPr>
          <w:p w14:paraId="4D56F269" w14:textId="04110F82" w:rsidR="00E90DAA" w:rsidRDefault="00E90DAA" w:rsidP="00E90DAA">
            <w:pPr>
              <w:pStyle w:val="TAC"/>
            </w:pPr>
            <w:r w:rsidRPr="004C73B0">
              <w:t>312,5</w:t>
            </w:r>
          </w:p>
        </w:tc>
        <w:tc>
          <w:tcPr>
            <w:tcW w:w="1255" w:type="dxa"/>
          </w:tcPr>
          <w:p w14:paraId="1B9E902C" w14:textId="1D8C8F0C" w:rsidR="00E90DAA" w:rsidRDefault="00E90DAA" w:rsidP="00E90DAA">
            <w:pPr>
              <w:pStyle w:val="TAC"/>
            </w:pPr>
            <w:r w:rsidRPr="004C73B0">
              <w:t>52</w:t>
            </w:r>
          </w:p>
        </w:tc>
        <w:tc>
          <w:tcPr>
            <w:tcW w:w="1155" w:type="dxa"/>
          </w:tcPr>
          <w:p w14:paraId="2D0D9C49" w14:textId="34588844" w:rsidR="00E90DAA" w:rsidRDefault="00E90DAA" w:rsidP="00E90DAA">
            <w:pPr>
              <w:pStyle w:val="TAC"/>
            </w:pPr>
            <w:r w:rsidRPr="004C73B0">
              <w:t>35</w:t>
            </w:r>
          </w:p>
        </w:tc>
        <w:tc>
          <w:tcPr>
            <w:tcW w:w="1417" w:type="dxa"/>
          </w:tcPr>
          <w:p w14:paraId="7E316E1D" w14:textId="4370686D" w:rsidR="00E90DAA" w:rsidRDefault="00E90DAA" w:rsidP="00E90DAA">
            <w:pPr>
              <w:pStyle w:val="TAC"/>
            </w:pPr>
            <w:r w:rsidRPr="004C73B0">
              <w:t>342,5</w:t>
            </w:r>
          </w:p>
        </w:tc>
        <w:tc>
          <w:tcPr>
            <w:tcW w:w="1134" w:type="dxa"/>
          </w:tcPr>
          <w:p w14:paraId="495A4752" w14:textId="4A6301A0" w:rsidR="00E90DAA" w:rsidRDefault="00E90DAA" w:rsidP="00E90DAA">
            <w:pPr>
              <w:pStyle w:val="TAC"/>
            </w:pPr>
            <w:r w:rsidRPr="004C73B0">
              <w:t>90</w:t>
            </w:r>
          </w:p>
        </w:tc>
      </w:tr>
      <w:tr w:rsidR="00E90DAA" w14:paraId="44D5EBE5" w14:textId="77777777" w:rsidTr="00E90DAA">
        <w:tc>
          <w:tcPr>
            <w:tcW w:w="993" w:type="dxa"/>
          </w:tcPr>
          <w:p w14:paraId="64A5F517" w14:textId="534243C5" w:rsidR="00E90DAA" w:rsidRDefault="00E90DAA" w:rsidP="00E90DAA">
            <w:pPr>
              <w:pStyle w:val="TAC"/>
            </w:pPr>
            <w:r w:rsidRPr="004C73B0">
              <w:t>11</w:t>
            </w:r>
          </w:p>
        </w:tc>
        <w:tc>
          <w:tcPr>
            <w:tcW w:w="1196" w:type="dxa"/>
          </w:tcPr>
          <w:p w14:paraId="4DB86938" w14:textId="302EC4F1" w:rsidR="00E90DAA" w:rsidRDefault="00E90DAA" w:rsidP="00E90DAA">
            <w:pPr>
              <w:pStyle w:val="TAC"/>
            </w:pPr>
            <w:r w:rsidRPr="004C73B0">
              <w:t>15</w:t>
            </w:r>
          </w:p>
        </w:tc>
        <w:tc>
          <w:tcPr>
            <w:tcW w:w="1497" w:type="dxa"/>
          </w:tcPr>
          <w:p w14:paraId="36A95878" w14:textId="0D462C5E" w:rsidR="00E90DAA" w:rsidRDefault="00E90DAA" w:rsidP="00E90DAA">
            <w:pPr>
              <w:pStyle w:val="TAC"/>
            </w:pPr>
            <w:r w:rsidRPr="004C73B0">
              <w:t>382,5</w:t>
            </w:r>
          </w:p>
        </w:tc>
        <w:tc>
          <w:tcPr>
            <w:tcW w:w="1255" w:type="dxa"/>
          </w:tcPr>
          <w:p w14:paraId="19B3C63E" w14:textId="5820CB51" w:rsidR="00E90DAA" w:rsidRDefault="00E90DAA" w:rsidP="00E90DAA">
            <w:pPr>
              <w:pStyle w:val="TAC"/>
            </w:pPr>
            <w:r w:rsidRPr="004C73B0">
              <w:t>79</w:t>
            </w:r>
          </w:p>
        </w:tc>
        <w:tc>
          <w:tcPr>
            <w:tcW w:w="1155" w:type="dxa"/>
          </w:tcPr>
          <w:p w14:paraId="20C8F96A" w14:textId="7D24D2F7" w:rsidR="00E90DAA" w:rsidRDefault="00E90DAA" w:rsidP="00E90DAA">
            <w:pPr>
              <w:pStyle w:val="TAC"/>
            </w:pPr>
            <w:r w:rsidRPr="004C73B0">
              <w:t>56</w:t>
            </w:r>
          </w:p>
        </w:tc>
        <w:tc>
          <w:tcPr>
            <w:tcW w:w="1417" w:type="dxa"/>
          </w:tcPr>
          <w:p w14:paraId="59151685" w14:textId="08BE4731" w:rsidR="00E90DAA" w:rsidRDefault="00E90DAA" w:rsidP="00E90DAA">
            <w:pPr>
              <w:pStyle w:val="TAC"/>
            </w:pPr>
            <w:r w:rsidRPr="004C73B0">
              <w:t>452,5</w:t>
            </w:r>
          </w:p>
        </w:tc>
        <w:tc>
          <w:tcPr>
            <w:tcW w:w="1134" w:type="dxa"/>
          </w:tcPr>
          <w:p w14:paraId="190DE34E" w14:textId="06BDE737" w:rsidR="00E90DAA" w:rsidRDefault="00E90DAA" w:rsidP="00E90DAA">
            <w:pPr>
              <w:pStyle w:val="TAC"/>
            </w:pPr>
            <w:r w:rsidRPr="004C73B0">
              <w:t>91,6</w:t>
            </w:r>
          </w:p>
        </w:tc>
      </w:tr>
      <w:tr w:rsidR="00E90DAA" w14:paraId="1E358B25" w14:textId="77777777" w:rsidTr="00E90DAA">
        <w:tc>
          <w:tcPr>
            <w:tcW w:w="993" w:type="dxa"/>
          </w:tcPr>
          <w:p w14:paraId="5DC791BF" w14:textId="3E5BD63D" w:rsidR="00E90DAA" w:rsidRDefault="00E90DAA" w:rsidP="00E90DAA">
            <w:pPr>
              <w:pStyle w:val="TAC"/>
            </w:pPr>
            <w:r w:rsidRPr="004C73B0">
              <w:t>12</w:t>
            </w:r>
          </w:p>
        </w:tc>
        <w:tc>
          <w:tcPr>
            <w:tcW w:w="1196" w:type="dxa"/>
          </w:tcPr>
          <w:p w14:paraId="4C2F3942" w14:textId="6436B0E8" w:rsidR="00E90DAA" w:rsidRDefault="00E90DAA" w:rsidP="00E90DAA">
            <w:pPr>
              <w:pStyle w:val="TAC"/>
            </w:pPr>
            <w:r w:rsidRPr="004C73B0">
              <w:t>15</w:t>
            </w:r>
          </w:p>
        </w:tc>
        <w:tc>
          <w:tcPr>
            <w:tcW w:w="1497" w:type="dxa"/>
          </w:tcPr>
          <w:p w14:paraId="4AB46FE5" w14:textId="212DB0D0" w:rsidR="00E90DAA" w:rsidRDefault="00E90DAA" w:rsidP="00E90DAA">
            <w:pPr>
              <w:pStyle w:val="TAC"/>
            </w:pPr>
            <w:r w:rsidRPr="004C73B0">
              <w:t>382,5</w:t>
            </w:r>
          </w:p>
        </w:tc>
        <w:tc>
          <w:tcPr>
            <w:tcW w:w="1255" w:type="dxa"/>
          </w:tcPr>
          <w:p w14:paraId="073572A5" w14:textId="70E4F10E" w:rsidR="00E90DAA" w:rsidRDefault="00E90DAA" w:rsidP="00E90DAA">
            <w:pPr>
              <w:pStyle w:val="TAC"/>
            </w:pPr>
            <w:r w:rsidRPr="004C73B0">
              <w:t>79</w:t>
            </w:r>
          </w:p>
        </w:tc>
        <w:tc>
          <w:tcPr>
            <w:tcW w:w="1155" w:type="dxa"/>
          </w:tcPr>
          <w:p w14:paraId="287BDE3D" w14:textId="1A008998" w:rsidR="00E90DAA" w:rsidRDefault="00E90DAA" w:rsidP="00E90DAA">
            <w:pPr>
              <w:pStyle w:val="TAC"/>
            </w:pPr>
            <w:r w:rsidRPr="004C73B0">
              <w:t>62</w:t>
            </w:r>
          </w:p>
        </w:tc>
        <w:tc>
          <w:tcPr>
            <w:tcW w:w="1417" w:type="dxa"/>
          </w:tcPr>
          <w:p w14:paraId="330989C7" w14:textId="21AB4817" w:rsidR="00E90DAA" w:rsidRDefault="00E90DAA" w:rsidP="00E90DAA">
            <w:pPr>
              <w:pStyle w:val="TAC"/>
            </w:pPr>
            <w:r w:rsidRPr="004C73B0">
              <w:t>412,5</w:t>
            </w:r>
          </w:p>
        </w:tc>
        <w:tc>
          <w:tcPr>
            <w:tcW w:w="1134" w:type="dxa"/>
          </w:tcPr>
          <w:p w14:paraId="0FF752F0" w14:textId="42F952DA" w:rsidR="00E90DAA" w:rsidRDefault="00E90DAA" w:rsidP="00E90DAA">
            <w:pPr>
              <w:pStyle w:val="TAC"/>
            </w:pPr>
            <w:r w:rsidRPr="004C73B0">
              <w:t>93</w:t>
            </w:r>
          </w:p>
        </w:tc>
      </w:tr>
      <w:tr w:rsidR="00E90DAA" w14:paraId="3A0FDEB0" w14:textId="77777777" w:rsidTr="00E90DAA">
        <w:tc>
          <w:tcPr>
            <w:tcW w:w="993" w:type="dxa"/>
          </w:tcPr>
          <w:p w14:paraId="0727C8A3" w14:textId="71EC4D62" w:rsidR="00E90DAA" w:rsidRDefault="00E90DAA" w:rsidP="00E90DAA">
            <w:pPr>
              <w:pStyle w:val="TAC"/>
            </w:pPr>
            <w:r w:rsidRPr="004C73B0">
              <w:t>12,5</w:t>
            </w:r>
          </w:p>
        </w:tc>
        <w:tc>
          <w:tcPr>
            <w:tcW w:w="1196" w:type="dxa"/>
          </w:tcPr>
          <w:p w14:paraId="1C48BF8D" w14:textId="1161A0CA" w:rsidR="00E90DAA" w:rsidRDefault="00E90DAA" w:rsidP="00E90DAA">
            <w:pPr>
              <w:pStyle w:val="TAC"/>
            </w:pPr>
            <w:r w:rsidRPr="004C73B0">
              <w:t>15</w:t>
            </w:r>
          </w:p>
        </w:tc>
        <w:tc>
          <w:tcPr>
            <w:tcW w:w="1497" w:type="dxa"/>
          </w:tcPr>
          <w:p w14:paraId="2DE94FC0" w14:textId="69622658" w:rsidR="00E90DAA" w:rsidRDefault="00E90DAA" w:rsidP="00E90DAA">
            <w:pPr>
              <w:pStyle w:val="TAC"/>
            </w:pPr>
            <w:r w:rsidRPr="004C73B0">
              <w:t>382,5</w:t>
            </w:r>
          </w:p>
        </w:tc>
        <w:tc>
          <w:tcPr>
            <w:tcW w:w="1255" w:type="dxa"/>
          </w:tcPr>
          <w:p w14:paraId="6AA5562F" w14:textId="7565EA50" w:rsidR="00E90DAA" w:rsidRDefault="00E90DAA" w:rsidP="00E90DAA">
            <w:pPr>
              <w:pStyle w:val="TAC"/>
            </w:pPr>
            <w:r w:rsidRPr="004C73B0">
              <w:t>79</w:t>
            </w:r>
          </w:p>
        </w:tc>
        <w:tc>
          <w:tcPr>
            <w:tcW w:w="1155" w:type="dxa"/>
          </w:tcPr>
          <w:p w14:paraId="63E83651" w14:textId="61DAF1ED" w:rsidR="00E90DAA" w:rsidRDefault="00E90DAA" w:rsidP="00E90DAA">
            <w:pPr>
              <w:pStyle w:val="TAC"/>
            </w:pPr>
            <w:r w:rsidRPr="004C73B0">
              <w:t>65</w:t>
            </w:r>
          </w:p>
        </w:tc>
        <w:tc>
          <w:tcPr>
            <w:tcW w:w="1417" w:type="dxa"/>
          </w:tcPr>
          <w:p w14:paraId="5E78BB2F" w14:textId="277FFC79" w:rsidR="00E90DAA" w:rsidRDefault="00E90DAA" w:rsidP="00E90DAA">
            <w:pPr>
              <w:pStyle w:val="TAC"/>
            </w:pPr>
            <w:r w:rsidRPr="004C73B0">
              <w:t>392,5</w:t>
            </w:r>
          </w:p>
        </w:tc>
        <w:tc>
          <w:tcPr>
            <w:tcW w:w="1134" w:type="dxa"/>
          </w:tcPr>
          <w:p w14:paraId="58B1DA48" w14:textId="74056C98" w:rsidR="00E90DAA" w:rsidRDefault="00E90DAA" w:rsidP="00E90DAA">
            <w:pPr>
              <w:pStyle w:val="TAC"/>
            </w:pPr>
            <w:r w:rsidRPr="004C73B0">
              <w:t>93,6</w:t>
            </w:r>
          </w:p>
        </w:tc>
      </w:tr>
      <w:tr w:rsidR="00E90DAA" w14:paraId="1F4EA259" w14:textId="77777777" w:rsidTr="00E90DAA">
        <w:tc>
          <w:tcPr>
            <w:tcW w:w="993" w:type="dxa"/>
          </w:tcPr>
          <w:p w14:paraId="0DDEDA4F" w14:textId="0F23FDBB" w:rsidR="00E90DAA" w:rsidRDefault="00E90DAA" w:rsidP="00E90DAA">
            <w:pPr>
              <w:pStyle w:val="TAC"/>
            </w:pPr>
            <w:r w:rsidRPr="004C73B0">
              <w:t>13</w:t>
            </w:r>
          </w:p>
        </w:tc>
        <w:tc>
          <w:tcPr>
            <w:tcW w:w="1196" w:type="dxa"/>
          </w:tcPr>
          <w:p w14:paraId="3969D068" w14:textId="72C9A1CF" w:rsidR="00E90DAA" w:rsidRDefault="00E90DAA" w:rsidP="00E90DAA">
            <w:pPr>
              <w:pStyle w:val="TAC"/>
            </w:pPr>
            <w:r w:rsidRPr="004C73B0">
              <w:t>15</w:t>
            </w:r>
          </w:p>
        </w:tc>
        <w:tc>
          <w:tcPr>
            <w:tcW w:w="1497" w:type="dxa"/>
          </w:tcPr>
          <w:p w14:paraId="2B6CF91A" w14:textId="3C5168DA" w:rsidR="00E90DAA" w:rsidRDefault="00E90DAA" w:rsidP="00E90DAA">
            <w:pPr>
              <w:pStyle w:val="TAC"/>
            </w:pPr>
            <w:r w:rsidRPr="004C73B0">
              <w:t>382,5</w:t>
            </w:r>
          </w:p>
        </w:tc>
        <w:tc>
          <w:tcPr>
            <w:tcW w:w="1255" w:type="dxa"/>
          </w:tcPr>
          <w:p w14:paraId="0E9D33B0" w14:textId="1A304758" w:rsidR="00E90DAA" w:rsidRDefault="00E90DAA" w:rsidP="00E90DAA">
            <w:pPr>
              <w:pStyle w:val="TAC"/>
            </w:pPr>
            <w:r w:rsidRPr="004C73B0">
              <w:t>79</w:t>
            </w:r>
          </w:p>
        </w:tc>
        <w:tc>
          <w:tcPr>
            <w:tcW w:w="1155" w:type="dxa"/>
          </w:tcPr>
          <w:p w14:paraId="3FD4A73A" w14:textId="492DADC5" w:rsidR="00E90DAA" w:rsidRDefault="00E90DAA" w:rsidP="00E90DAA">
            <w:pPr>
              <w:pStyle w:val="TAC"/>
            </w:pPr>
            <w:r w:rsidRPr="004C73B0">
              <w:t>67</w:t>
            </w:r>
          </w:p>
        </w:tc>
        <w:tc>
          <w:tcPr>
            <w:tcW w:w="1417" w:type="dxa"/>
          </w:tcPr>
          <w:p w14:paraId="5C203010" w14:textId="78703E3F" w:rsidR="00E90DAA" w:rsidRDefault="00E90DAA" w:rsidP="00E90DAA">
            <w:pPr>
              <w:pStyle w:val="TAC"/>
            </w:pPr>
            <w:r w:rsidRPr="004C73B0">
              <w:t>462,5</w:t>
            </w:r>
          </w:p>
        </w:tc>
        <w:tc>
          <w:tcPr>
            <w:tcW w:w="1134" w:type="dxa"/>
          </w:tcPr>
          <w:p w14:paraId="59E0C767" w14:textId="0510F55F" w:rsidR="00E90DAA" w:rsidRDefault="00E90DAA" w:rsidP="00E90DAA">
            <w:pPr>
              <w:pStyle w:val="TAC"/>
            </w:pPr>
            <w:r w:rsidRPr="004C73B0">
              <w:t>92,8</w:t>
            </w:r>
          </w:p>
        </w:tc>
      </w:tr>
    </w:tbl>
    <w:p w14:paraId="59510CB0" w14:textId="00313273" w:rsidR="00E90DAA" w:rsidRDefault="00E90DAA" w:rsidP="00E90DAA"/>
    <w:p w14:paraId="7A690579" w14:textId="7567F6AA" w:rsidR="00D47864" w:rsidRPr="00D47864" w:rsidRDefault="00D47864" w:rsidP="00D47864">
      <w:pPr>
        <w:pStyle w:val="B1"/>
      </w:pPr>
      <w:r>
        <w:tab/>
        <w:t xml:space="preserve">Table 2-2 below presents similar calculations for 30kHz SCS, from which one can see that combination of 30kHz SCS and the next larger channel is not generally a good approach for small channel bandwidths. The main reason is that 30kHz SCS </w:t>
      </w:r>
      <w:r w:rsidR="00233CDA">
        <w:t xml:space="preserve">has </w:t>
      </w:r>
      <w:r>
        <w:t>much larger guard bands, which immediately impacts number of available RBs.</w:t>
      </w:r>
    </w:p>
    <w:p w14:paraId="0F9ADDF4" w14:textId="23327A3A" w:rsidR="00D47864" w:rsidRDefault="00D47864" w:rsidP="00D47864">
      <w:pPr>
        <w:pStyle w:val="TH"/>
      </w:pPr>
      <w:r>
        <w:t>Table 2-2: Exemplary number of RBs based on the next larger channel guard bands (30kHz SCS).</w:t>
      </w:r>
    </w:p>
    <w:tbl>
      <w:tblPr>
        <w:tblStyle w:val="TableGrid"/>
        <w:tblW w:w="0" w:type="auto"/>
        <w:tblInd w:w="562" w:type="dxa"/>
        <w:tblLook w:val="04A0" w:firstRow="1" w:lastRow="0" w:firstColumn="1" w:lastColumn="0" w:noHBand="0" w:noVBand="1"/>
      </w:tblPr>
      <w:tblGrid>
        <w:gridCol w:w="993"/>
        <w:gridCol w:w="1196"/>
        <w:gridCol w:w="1497"/>
        <w:gridCol w:w="1255"/>
        <w:gridCol w:w="1155"/>
        <w:gridCol w:w="1417"/>
        <w:gridCol w:w="1134"/>
      </w:tblGrid>
      <w:tr w:rsidR="00D47864" w14:paraId="43551205" w14:textId="77777777" w:rsidTr="003D5D10">
        <w:tc>
          <w:tcPr>
            <w:tcW w:w="993" w:type="dxa"/>
          </w:tcPr>
          <w:p w14:paraId="43418792" w14:textId="77777777" w:rsidR="00D47864" w:rsidRPr="00E90DAA" w:rsidRDefault="00D47864" w:rsidP="003D5D10">
            <w:pPr>
              <w:pStyle w:val="TAH"/>
            </w:pPr>
            <w:r>
              <w:t>Channel (MHz)</w:t>
            </w:r>
          </w:p>
        </w:tc>
        <w:tc>
          <w:tcPr>
            <w:tcW w:w="1196" w:type="dxa"/>
          </w:tcPr>
          <w:p w14:paraId="43FAD324" w14:textId="77777777" w:rsidR="00D47864" w:rsidRPr="00E90DAA" w:rsidRDefault="00D47864" w:rsidP="003D5D10">
            <w:pPr>
              <w:pStyle w:val="TAH"/>
            </w:pPr>
            <w:r>
              <w:t>Next larger channel (MHz)</w:t>
            </w:r>
          </w:p>
        </w:tc>
        <w:tc>
          <w:tcPr>
            <w:tcW w:w="1497" w:type="dxa"/>
          </w:tcPr>
          <w:p w14:paraId="0882E386" w14:textId="77777777" w:rsidR="00D47864" w:rsidRPr="00E90DAA" w:rsidRDefault="00D47864" w:rsidP="003D5D10">
            <w:pPr>
              <w:pStyle w:val="TAH"/>
            </w:pPr>
            <w:r>
              <w:t>Next larger channel guard band (kHz)</w:t>
            </w:r>
          </w:p>
        </w:tc>
        <w:tc>
          <w:tcPr>
            <w:tcW w:w="1255" w:type="dxa"/>
          </w:tcPr>
          <w:p w14:paraId="205F3E2F" w14:textId="77777777" w:rsidR="00D47864" w:rsidRPr="00E90DAA" w:rsidRDefault="00D47864" w:rsidP="003D5D10">
            <w:pPr>
              <w:pStyle w:val="TAH"/>
            </w:pPr>
            <w:r>
              <w:t xml:space="preserve">Next larger channel </w:t>
            </w:r>
            <w:proofErr w:type="spellStart"/>
            <w:r>
              <w:t>Nrb</w:t>
            </w:r>
            <w:proofErr w:type="spellEnd"/>
          </w:p>
        </w:tc>
        <w:tc>
          <w:tcPr>
            <w:tcW w:w="1155" w:type="dxa"/>
          </w:tcPr>
          <w:p w14:paraId="00E154E3" w14:textId="77777777" w:rsidR="00D47864" w:rsidRPr="00E90DAA" w:rsidRDefault="00D47864" w:rsidP="003D5D10">
            <w:pPr>
              <w:pStyle w:val="TAH"/>
            </w:pPr>
            <w:r>
              <w:t xml:space="preserve">Channel </w:t>
            </w:r>
            <w:proofErr w:type="spellStart"/>
            <w:r>
              <w:t>Nrb</w:t>
            </w:r>
            <w:proofErr w:type="spellEnd"/>
          </w:p>
        </w:tc>
        <w:tc>
          <w:tcPr>
            <w:tcW w:w="1417" w:type="dxa"/>
          </w:tcPr>
          <w:p w14:paraId="5F824AB3" w14:textId="77777777" w:rsidR="00D47864" w:rsidRPr="00E90DAA" w:rsidRDefault="00D47864" w:rsidP="003D5D10">
            <w:pPr>
              <w:pStyle w:val="TAH"/>
            </w:pPr>
            <w:r>
              <w:t>Channel guard bands (kHz)</w:t>
            </w:r>
          </w:p>
        </w:tc>
        <w:tc>
          <w:tcPr>
            <w:tcW w:w="1134" w:type="dxa"/>
          </w:tcPr>
          <w:p w14:paraId="2478A4C0" w14:textId="77777777" w:rsidR="00D47864" w:rsidRPr="00E90DAA" w:rsidRDefault="00D47864" w:rsidP="003D5D10">
            <w:pPr>
              <w:pStyle w:val="TAH"/>
            </w:pPr>
            <w:r>
              <w:t>Utilisation (%)</w:t>
            </w:r>
          </w:p>
        </w:tc>
      </w:tr>
      <w:tr w:rsidR="00D47864" w14:paraId="401758D5" w14:textId="77777777" w:rsidTr="003D5D10">
        <w:tc>
          <w:tcPr>
            <w:tcW w:w="993" w:type="dxa"/>
          </w:tcPr>
          <w:p w14:paraId="31A13377" w14:textId="77777777" w:rsidR="00D47864" w:rsidRDefault="00D47864" w:rsidP="00D47864">
            <w:pPr>
              <w:pStyle w:val="TAC"/>
            </w:pPr>
            <w:r w:rsidRPr="004C73B0">
              <w:t>6</w:t>
            </w:r>
          </w:p>
        </w:tc>
        <w:tc>
          <w:tcPr>
            <w:tcW w:w="1196" w:type="dxa"/>
          </w:tcPr>
          <w:p w14:paraId="10403A6B" w14:textId="77777777" w:rsidR="00D47864" w:rsidRDefault="00D47864" w:rsidP="00D47864">
            <w:pPr>
              <w:pStyle w:val="TAC"/>
            </w:pPr>
            <w:r w:rsidRPr="004C73B0">
              <w:t>10</w:t>
            </w:r>
          </w:p>
        </w:tc>
        <w:tc>
          <w:tcPr>
            <w:tcW w:w="1497" w:type="dxa"/>
          </w:tcPr>
          <w:p w14:paraId="0B0DDAB7" w14:textId="3D1D4AC0" w:rsidR="00D47864" w:rsidRDefault="00D47864" w:rsidP="00D47864">
            <w:pPr>
              <w:pStyle w:val="TAC"/>
            </w:pPr>
            <w:r w:rsidRPr="00DA5243">
              <w:t>665</w:t>
            </w:r>
          </w:p>
        </w:tc>
        <w:tc>
          <w:tcPr>
            <w:tcW w:w="1255" w:type="dxa"/>
          </w:tcPr>
          <w:p w14:paraId="2D8C48AB" w14:textId="7A185D08" w:rsidR="00D47864" w:rsidRDefault="00D47864" w:rsidP="00D47864">
            <w:pPr>
              <w:pStyle w:val="TAC"/>
            </w:pPr>
            <w:r w:rsidRPr="00DA5243">
              <w:t>24</w:t>
            </w:r>
          </w:p>
        </w:tc>
        <w:tc>
          <w:tcPr>
            <w:tcW w:w="1155" w:type="dxa"/>
          </w:tcPr>
          <w:p w14:paraId="79CC85B5" w14:textId="4570888C" w:rsidR="00D47864" w:rsidRDefault="00D47864" w:rsidP="00D47864">
            <w:pPr>
              <w:pStyle w:val="TAC"/>
            </w:pPr>
            <w:r w:rsidRPr="00DA5243">
              <w:t>12</w:t>
            </w:r>
          </w:p>
        </w:tc>
        <w:tc>
          <w:tcPr>
            <w:tcW w:w="1417" w:type="dxa"/>
          </w:tcPr>
          <w:p w14:paraId="36327CCC" w14:textId="0707D400" w:rsidR="00D47864" w:rsidRDefault="00D47864" w:rsidP="00D47864">
            <w:pPr>
              <w:pStyle w:val="TAC"/>
            </w:pPr>
            <w:r w:rsidRPr="005874CC">
              <w:t>825</w:t>
            </w:r>
          </w:p>
        </w:tc>
        <w:tc>
          <w:tcPr>
            <w:tcW w:w="1134" w:type="dxa"/>
          </w:tcPr>
          <w:p w14:paraId="49EA6451" w14:textId="4825E9F1" w:rsidR="00D47864" w:rsidRDefault="00D47864" w:rsidP="00D47864">
            <w:pPr>
              <w:pStyle w:val="TAC"/>
            </w:pPr>
            <w:r w:rsidRPr="005874CC">
              <w:t>72</w:t>
            </w:r>
          </w:p>
        </w:tc>
      </w:tr>
      <w:tr w:rsidR="00D47864" w14:paraId="0290E9C6" w14:textId="77777777" w:rsidTr="003D5D10">
        <w:tc>
          <w:tcPr>
            <w:tcW w:w="993" w:type="dxa"/>
          </w:tcPr>
          <w:p w14:paraId="5AB7C250" w14:textId="77777777" w:rsidR="00D47864" w:rsidRDefault="00D47864" w:rsidP="00D47864">
            <w:pPr>
              <w:pStyle w:val="TAC"/>
            </w:pPr>
            <w:r w:rsidRPr="004C73B0">
              <w:t>7</w:t>
            </w:r>
          </w:p>
        </w:tc>
        <w:tc>
          <w:tcPr>
            <w:tcW w:w="1196" w:type="dxa"/>
          </w:tcPr>
          <w:p w14:paraId="56A65638" w14:textId="77777777" w:rsidR="00D47864" w:rsidRDefault="00D47864" w:rsidP="00D47864">
            <w:pPr>
              <w:pStyle w:val="TAC"/>
            </w:pPr>
            <w:r w:rsidRPr="004C73B0">
              <w:t>10</w:t>
            </w:r>
          </w:p>
        </w:tc>
        <w:tc>
          <w:tcPr>
            <w:tcW w:w="1497" w:type="dxa"/>
          </w:tcPr>
          <w:p w14:paraId="46469668" w14:textId="0AD5316C" w:rsidR="00D47864" w:rsidRDefault="00D47864" w:rsidP="00D47864">
            <w:pPr>
              <w:pStyle w:val="TAC"/>
            </w:pPr>
            <w:r w:rsidRPr="00DA5243">
              <w:t>665</w:t>
            </w:r>
          </w:p>
        </w:tc>
        <w:tc>
          <w:tcPr>
            <w:tcW w:w="1255" w:type="dxa"/>
          </w:tcPr>
          <w:p w14:paraId="1D04FB7C" w14:textId="34B6FFCC" w:rsidR="00D47864" w:rsidRDefault="00D47864" w:rsidP="00D47864">
            <w:pPr>
              <w:pStyle w:val="TAC"/>
            </w:pPr>
            <w:r w:rsidRPr="00DA5243">
              <w:t>24</w:t>
            </w:r>
          </w:p>
        </w:tc>
        <w:tc>
          <w:tcPr>
            <w:tcW w:w="1155" w:type="dxa"/>
          </w:tcPr>
          <w:p w14:paraId="63308682" w14:textId="29F87B64" w:rsidR="00D47864" w:rsidRDefault="00D47864" w:rsidP="00D47864">
            <w:pPr>
              <w:pStyle w:val="TAC"/>
            </w:pPr>
            <w:r w:rsidRPr="00DA5243">
              <w:t>15</w:t>
            </w:r>
          </w:p>
        </w:tc>
        <w:tc>
          <w:tcPr>
            <w:tcW w:w="1417" w:type="dxa"/>
          </w:tcPr>
          <w:p w14:paraId="57A5077C" w14:textId="3C976023" w:rsidR="00D47864" w:rsidRDefault="00D47864" w:rsidP="00D47864">
            <w:pPr>
              <w:pStyle w:val="TAC"/>
            </w:pPr>
            <w:r w:rsidRPr="005874CC">
              <w:t>785</w:t>
            </w:r>
          </w:p>
        </w:tc>
        <w:tc>
          <w:tcPr>
            <w:tcW w:w="1134" w:type="dxa"/>
          </w:tcPr>
          <w:p w14:paraId="711D0D37" w14:textId="122AD1DA" w:rsidR="00D47864" w:rsidRDefault="00D47864" w:rsidP="00D47864">
            <w:pPr>
              <w:pStyle w:val="TAC"/>
            </w:pPr>
            <w:r w:rsidRPr="005874CC">
              <w:t>77,1</w:t>
            </w:r>
          </w:p>
        </w:tc>
      </w:tr>
      <w:tr w:rsidR="00D47864" w14:paraId="3BEB99E8" w14:textId="77777777" w:rsidTr="003D5D10">
        <w:tc>
          <w:tcPr>
            <w:tcW w:w="993" w:type="dxa"/>
          </w:tcPr>
          <w:p w14:paraId="0C650EE6" w14:textId="77777777" w:rsidR="00D47864" w:rsidRDefault="00D47864" w:rsidP="00D47864">
            <w:pPr>
              <w:pStyle w:val="TAC"/>
            </w:pPr>
            <w:r w:rsidRPr="004C73B0">
              <w:t>11</w:t>
            </w:r>
          </w:p>
        </w:tc>
        <w:tc>
          <w:tcPr>
            <w:tcW w:w="1196" w:type="dxa"/>
          </w:tcPr>
          <w:p w14:paraId="1BF9495A" w14:textId="77777777" w:rsidR="00D47864" w:rsidRDefault="00D47864" w:rsidP="00D47864">
            <w:pPr>
              <w:pStyle w:val="TAC"/>
            </w:pPr>
            <w:r w:rsidRPr="004C73B0">
              <w:t>15</w:t>
            </w:r>
          </w:p>
        </w:tc>
        <w:tc>
          <w:tcPr>
            <w:tcW w:w="1497" w:type="dxa"/>
          </w:tcPr>
          <w:p w14:paraId="457FCA37" w14:textId="40E45F6A" w:rsidR="00D47864" w:rsidRDefault="00D47864" w:rsidP="00D47864">
            <w:pPr>
              <w:pStyle w:val="TAC"/>
            </w:pPr>
            <w:r w:rsidRPr="00DA5243">
              <w:t>645</w:t>
            </w:r>
          </w:p>
        </w:tc>
        <w:tc>
          <w:tcPr>
            <w:tcW w:w="1255" w:type="dxa"/>
          </w:tcPr>
          <w:p w14:paraId="527D8A57" w14:textId="28317C01" w:rsidR="00D47864" w:rsidRDefault="00D47864" w:rsidP="00D47864">
            <w:pPr>
              <w:pStyle w:val="TAC"/>
            </w:pPr>
            <w:r w:rsidRPr="00DA5243">
              <w:t>38</w:t>
            </w:r>
          </w:p>
        </w:tc>
        <w:tc>
          <w:tcPr>
            <w:tcW w:w="1155" w:type="dxa"/>
          </w:tcPr>
          <w:p w14:paraId="35311268" w14:textId="757C57DB" w:rsidR="00D47864" w:rsidRDefault="00D47864" w:rsidP="00D47864">
            <w:pPr>
              <w:pStyle w:val="TAC"/>
            </w:pPr>
            <w:r w:rsidRPr="00DA5243">
              <w:t>26</w:t>
            </w:r>
          </w:p>
        </w:tc>
        <w:tc>
          <w:tcPr>
            <w:tcW w:w="1417" w:type="dxa"/>
          </w:tcPr>
          <w:p w14:paraId="369C01B7" w14:textId="05D71348" w:rsidR="00D47864" w:rsidRDefault="00D47864" w:rsidP="00D47864">
            <w:pPr>
              <w:pStyle w:val="TAC"/>
            </w:pPr>
            <w:r w:rsidRPr="005874CC">
              <w:t>805</w:t>
            </w:r>
          </w:p>
        </w:tc>
        <w:tc>
          <w:tcPr>
            <w:tcW w:w="1134" w:type="dxa"/>
          </w:tcPr>
          <w:p w14:paraId="19FA8C78" w14:textId="79C77C0A" w:rsidR="00D47864" w:rsidRDefault="00D47864" w:rsidP="00D47864">
            <w:pPr>
              <w:pStyle w:val="TAC"/>
            </w:pPr>
            <w:r w:rsidRPr="005874CC">
              <w:t>85,1</w:t>
            </w:r>
          </w:p>
        </w:tc>
      </w:tr>
      <w:tr w:rsidR="00D47864" w14:paraId="39A026B7" w14:textId="77777777" w:rsidTr="003D5D10">
        <w:tc>
          <w:tcPr>
            <w:tcW w:w="993" w:type="dxa"/>
          </w:tcPr>
          <w:p w14:paraId="587C299A" w14:textId="77777777" w:rsidR="00D47864" w:rsidRDefault="00D47864" w:rsidP="00D47864">
            <w:pPr>
              <w:pStyle w:val="TAC"/>
            </w:pPr>
            <w:r w:rsidRPr="004C73B0">
              <w:t>12</w:t>
            </w:r>
          </w:p>
        </w:tc>
        <w:tc>
          <w:tcPr>
            <w:tcW w:w="1196" w:type="dxa"/>
          </w:tcPr>
          <w:p w14:paraId="2E54EE5C" w14:textId="77777777" w:rsidR="00D47864" w:rsidRDefault="00D47864" w:rsidP="00D47864">
            <w:pPr>
              <w:pStyle w:val="TAC"/>
            </w:pPr>
            <w:r w:rsidRPr="004C73B0">
              <w:t>15</w:t>
            </w:r>
          </w:p>
        </w:tc>
        <w:tc>
          <w:tcPr>
            <w:tcW w:w="1497" w:type="dxa"/>
          </w:tcPr>
          <w:p w14:paraId="0B490B1A" w14:textId="3B99479F" w:rsidR="00D47864" w:rsidRDefault="00D47864" w:rsidP="00D47864">
            <w:pPr>
              <w:pStyle w:val="TAC"/>
            </w:pPr>
            <w:r w:rsidRPr="00DA5243">
              <w:t>645</w:t>
            </w:r>
          </w:p>
        </w:tc>
        <w:tc>
          <w:tcPr>
            <w:tcW w:w="1255" w:type="dxa"/>
          </w:tcPr>
          <w:p w14:paraId="0C3BA975" w14:textId="57139BAD" w:rsidR="00D47864" w:rsidRDefault="00D47864" w:rsidP="00D47864">
            <w:pPr>
              <w:pStyle w:val="TAC"/>
            </w:pPr>
            <w:r w:rsidRPr="00DA5243">
              <w:t>38</w:t>
            </w:r>
          </w:p>
        </w:tc>
        <w:tc>
          <w:tcPr>
            <w:tcW w:w="1155" w:type="dxa"/>
          </w:tcPr>
          <w:p w14:paraId="67E0AC24" w14:textId="389FB0A7" w:rsidR="00D47864" w:rsidRDefault="00D47864" w:rsidP="00D47864">
            <w:pPr>
              <w:pStyle w:val="TAC"/>
            </w:pPr>
            <w:r w:rsidRPr="00DA5243">
              <w:t>29</w:t>
            </w:r>
          </w:p>
        </w:tc>
        <w:tc>
          <w:tcPr>
            <w:tcW w:w="1417" w:type="dxa"/>
          </w:tcPr>
          <w:p w14:paraId="3138DB96" w14:textId="7DC52A81" w:rsidR="00D47864" w:rsidRDefault="00D47864" w:rsidP="00D47864">
            <w:pPr>
              <w:pStyle w:val="TAC"/>
            </w:pPr>
            <w:r w:rsidRPr="005874CC">
              <w:t>765</w:t>
            </w:r>
          </w:p>
        </w:tc>
        <w:tc>
          <w:tcPr>
            <w:tcW w:w="1134" w:type="dxa"/>
          </w:tcPr>
          <w:p w14:paraId="6D4CE2A8" w14:textId="6745040B" w:rsidR="00D47864" w:rsidRDefault="00D47864" w:rsidP="00D47864">
            <w:pPr>
              <w:pStyle w:val="TAC"/>
            </w:pPr>
            <w:r w:rsidRPr="005874CC">
              <w:t>87</w:t>
            </w:r>
          </w:p>
        </w:tc>
      </w:tr>
      <w:tr w:rsidR="00D47864" w14:paraId="6D6049E6" w14:textId="77777777" w:rsidTr="003D5D10">
        <w:tc>
          <w:tcPr>
            <w:tcW w:w="993" w:type="dxa"/>
          </w:tcPr>
          <w:p w14:paraId="4FFA12AC" w14:textId="77777777" w:rsidR="00D47864" w:rsidRDefault="00D47864" w:rsidP="00D47864">
            <w:pPr>
              <w:pStyle w:val="TAC"/>
            </w:pPr>
            <w:r w:rsidRPr="004C73B0">
              <w:t>12,5</w:t>
            </w:r>
          </w:p>
        </w:tc>
        <w:tc>
          <w:tcPr>
            <w:tcW w:w="1196" w:type="dxa"/>
          </w:tcPr>
          <w:p w14:paraId="47AB224E" w14:textId="77777777" w:rsidR="00D47864" w:rsidRDefault="00D47864" w:rsidP="00D47864">
            <w:pPr>
              <w:pStyle w:val="TAC"/>
            </w:pPr>
            <w:r w:rsidRPr="004C73B0">
              <w:t>15</w:t>
            </w:r>
          </w:p>
        </w:tc>
        <w:tc>
          <w:tcPr>
            <w:tcW w:w="1497" w:type="dxa"/>
          </w:tcPr>
          <w:p w14:paraId="0B4FF1AA" w14:textId="41909B9B" w:rsidR="00D47864" w:rsidRDefault="00D47864" w:rsidP="00D47864">
            <w:pPr>
              <w:pStyle w:val="TAC"/>
            </w:pPr>
            <w:r w:rsidRPr="00DA5243">
              <w:t>645</w:t>
            </w:r>
          </w:p>
        </w:tc>
        <w:tc>
          <w:tcPr>
            <w:tcW w:w="1255" w:type="dxa"/>
          </w:tcPr>
          <w:p w14:paraId="14F6CCBE" w14:textId="33A0002B" w:rsidR="00D47864" w:rsidRDefault="00D47864" w:rsidP="00D47864">
            <w:pPr>
              <w:pStyle w:val="TAC"/>
            </w:pPr>
            <w:r w:rsidRPr="00DA5243">
              <w:t>38</w:t>
            </w:r>
          </w:p>
        </w:tc>
        <w:tc>
          <w:tcPr>
            <w:tcW w:w="1155" w:type="dxa"/>
          </w:tcPr>
          <w:p w14:paraId="5B196186" w14:textId="753F126B" w:rsidR="00D47864" w:rsidRDefault="00D47864" w:rsidP="00D47864">
            <w:pPr>
              <w:pStyle w:val="TAC"/>
            </w:pPr>
            <w:r w:rsidRPr="00DA5243">
              <w:t>31</w:t>
            </w:r>
          </w:p>
        </w:tc>
        <w:tc>
          <w:tcPr>
            <w:tcW w:w="1417" w:type="dxa"/>
          </w:tcPr>
          <w:p w14:paraId="77BF3CF9" w14:textId="1DC7EF63" w:rsidR="00D47864" w:rsidRDefault="00D47864" w:rsidP="00D47864">
            <w:pPr>
              <w:pStyle w:val="TAC"/>
            </w:pPr>
            <w:r w:rsidRPr="005874CC">
              <w:t>655</w:t>
            </w:r>
          </w:p>
        </w:tc>
        <w:tc>
          <w:tcPr>
            <w:tcW w:w="1134" w:type="dxa"/>
          </w:tcPr>
          <w:p w14:paraId="7E9320DA" w14:textId="5BF8A928" w:rsidR="00D47864" w:rsidRDefault="00D47864" w:rsidP="00D47864">
            <w:pPr>
              <w:pStyle w:val="TAC"/>
            </w:pPr>
            <w:r w:rsidRPr="005874CC">
              <w:t>89,3</w:t>
            </w:r>
          </w:p>
        </w:tc>
      </w:tr>
      <w:tr w:rsidR="00D47864" w14:paraId="73D2676E" w14:textId="77777777" w:rsidTr="003D5D10">
        <w:tc>
          <w:tcPr>
            <w:tcW w:w="993" w:type="dxa"/>
          </w:tcPr>
          <w:p w14:paraId="21FFDC64" w14:textId="77777777" w:rsidR="00D47864" w:rsidRDefault="00D47864" w:rsidP="00D47864">
            <w:pPr>
              <w:pStyle w:val="TAC"/>
            </w:pPr>
            <w:r w:rsidRPr="004C73B0">
              <w:t>13</w:t>
            </w:r>
          </w:p>
        </w:tc>
        <w:tc>
          <w:tcPr>
            <w:tcW w:w="1196" w:type="dxa"/>
          </w:tcPr>
          <w:p w14:paraId="6FB6A817" w14:textId="77777777" w:rsidR="00D47864" w:rsidRDefault="00D47864" w:rsidP="00D47864">
            <w:pPr>
              <w:pStyle w:val="TAC"/>
            </w:pPr>
            <w:r w:rsidRPr="004C73B0">
              <w:t>15</w:t>
            </w:r>
          </w:p>
        </w:tc>
        <w:tc>
          <w:tcPr>
            <w:tcW w:w="1497" w:type="dxa"/>
          </w:tcPr>
          <w:p w14:paraId="4D5B6A4C" w14:textId="4EDE2760" w:rsidR="00D47864" w:rsidRDefault="00D47864" w:rsidP="00D47864">
            <w:pPr>
              <w:pStyle w:val="TAC"/>
            </w:pPr>
            <w:r w:rsidRPr="00DA5243">
              <w:t>645</w:t>
            </w:r>
          </w:p>
        </w:tc>
        <w:tc>
          <w:tcPr>
            <w:tcW w:w="1255" w:type="dxa"/>
          </w:tcPr>
          <w:p w14:paraId="4709CDD6" w14:textId="086BBACD" w:rsidR="00D47864" w:rsidRDefault="00D47864" w:rsidP="00D47864">
            <w:pPr>
              <w:pStyle w:val="TAC"/>
            </w:pPr>
            <w:r w:rsidRPr="00DA5243">
              <w:t>38</w:t>
            </w:r>
          </w:p>
        </w:tc>
        <w:tc>
          <w:tcPr>
            <w:tcW w:w="1155" w:type="dxa"/>
          </w:tcPr>
          <w:p w14:paraId="5E2A579E" w14:textId="571F00AE" w:rsidR="00D47864" w:rsidRDefault="00D47864" w:rsidP="00D47864">
            <w:pPr>
              <w:pStyle w:val="TAC"/>
            </w:pPr>
            <w:r w:rsidRPr="00DA5243">
              <w:t>32</w:t>
            </w:r>
          </w:p>
        </w:tc>
        <w:tc>
          <w:tcPr>
            <w:tcW w:w="1417" w:type="dxa"/>
          </w:tcPr>
          <w:p w14:paraId="1970302D" w14:textId="21977992" w:rsidR="00D47864" w:rsidRDefault="00D47864" w:rsidP="00D47864">
            <w:pPr>
              <w:pStyle w:val="TAC"/>
            </w:pPr>
            <w:r w:rsidRPr="005874CC">
              <w:t>725</w:t>
            </w:r>
          </w:p>
        </w:tc>
        <w:tc>
          <w:tcPr>
            <w:tcW w:w="1134" w:type="dxa"/>
          </w:tcPr>
          <w:p w14:paraId="7FF4F7C6" w14:textId="162A44C3" w:rsidR="00D47864" w:rsidRDefault="00D47864" w:rsidP="00D47864">
            <w:pPr>
              <w:pStyle w:val="TAC"/>
            </w:pPr>
            <w:r w:rsidRPr="005874CC">
              <w:t>88,6</w:t>
            </w:r>
          </w:p>
        </w:tc>
      </w:tr>
    </w:tbl>
    <w:p w14:paraId="36E5B361" w14:textId="59E79864" w:rsidR="00E90DAA" w:rsidRDefault="00E90DAA" w:rsidP="00E90DAA"/>
    <w:p w14:paraId="24CE0B79" w14:textId="77777777" w:rsidR="00D47864" w:rsidRPr="009D2A34" w:rsidRDefault="00D47864" w:rsidP="00E90DAA"/>
    <w:p w14:paraId="630D3AB4" w14:textId="374FB7E6" w:rsidR="009D2A34" w:rsidRPr="009D2A34" w:rsidRDefault="009D2A34" w:rsidP="009D2A34">
      <w:pPr>
        <w:pStyle w:val="B1"/>
      </w:pPr>
      <w:r>
        <w:t>b)</w:t>
      </w:r>
      <w:r>
        <w:tab/>
      </w:r>
      <w:r w:rsidRPr="009D2A34">
        <w:t>ACS.</w:t>
      </w:r>
      <w:r w:rsidR="00F3466B">
        <w:t xml:space="preserve"> Theoretically speaking, RX blocking and ACS</w:t>
      </w:r>
      <w:r w:rsidR="00227ABB">
        <w:t xml:space="preserve"> may be an issue</w:t>
      </w:r>
      <w:r w:rsidR="00F3466B">
        <w:t xml:space="preserve"> for each "non-standard" channel bandwidth. Although one can assume that there is no issue for a case of a small difference between the actual spectrum size and the next larger channel, it requires further consideration when e.g. the actual spectrum size is 11MHz and the system is configure</w:t>
      </w:r>
      <w:r w:rsidR="00DC4F54">
        <w:t>d</w:t>
      </w:r>
      <w:r w:rsidR="00F3466B">
        <w:t xml:space="preserve"> with 15MHz</w:t>
      </w:r>
      <w:r w:rsidR="00F3466B" w:rsidRPr="00EF4C60">
        <w:t>.</w:t>
      </w:r>
      <w:r w:rsidR="001560B6">
        <w:t xml:space="preserve"> If a UE RF is configured with the 15MHz channel</w:t>
      </w:r>
      <w:r w:rsidR="00227ABB">
        <w:t xml:space="preserve"> and the operators wants to use 13MHz</w:t>
      </w:r>
      <w:r w:rsidR="001560B6">
        <w:t>, the</w:t>
      </w:r>
      <w:r w:rsidR="00227ABB">
        <w:t>re will be almost no</w:t>
      </w:r>
      <w:r w:rsidR="001560B6">
        <w:t xml:space="preserve"> impact </w:t>
      </w:r>
      <w:r w:rsidR="00227ABB">
        <w:t xml:space="preserve">to the </w:t>
      </w:r>
      <w:r w:rsidR="001560B6">
        <w:t>UE reception</w:t>
      </w:r>
      <w:r w:rsidR="00227ABB">
        <w:t>, since in that case most of a potential interferer falls into the guard band</w:t>
      </w:r>
      <w:r w:rsidR="001560B6">
        <w:t xml:space="preserve">. </w:t>
      </w:r>
      <w:r w:rsidR="0069226A">
        <w:t>Furthermore,</w:t>
      </w:r>
      <w:r w:rsidR="00227ABB">
        <w:t xml:space="preserve"> for frequencies within the passband of the channel </w:t>
      </w:r>
      <w:r w:rsidR="00227ABB">
        <w:lastRenderedPageBreak/>
        <w:t>filter, the UE will not be blocked by an adjacent interferer since the UE has also some in-band filtering due to the FFT. Even if there is an interferer in the adjacent channel, a usual UE receiver will by design not be completely blocked</w:t>
      </w:r>
      <w:r w:rsidR="008851FB">
        <w:t xml:space="preserve"> but continue to work, although the ACS performance may be degraded compared to a UE designed for the operator’s spectrum</w:t>
      </w:r>
      <w:r w:rsidR="00227ABB">
        <w:t>.</w:t>
      </w:r>
      <w:r w:rsidR="008851FB">
        <w:t xml:space="preserve"> </w:t>
      </w:r>
    </w:p>
    <w:p w14:paraId="4E8E6CC4" w14:textId="4D85589E" w:rsidR="000B14F0" w:rsidRDefault="009D2A34" w:rsidP="000759ED">
      <w:pPr>
        <w:pStyle w:val="B1"/>
      </w:pPr>
      <w:r>
        <w:t>c)</w:t>
      </w:r>
      <w:r>
        <w:tab/>
      </w:r>
      <w:r w:rsidR="00F3466B">
        <w:t>E</w:t>
      </w:r>
      <w:r w:rsidRPr="009D2A34">
        <w:t>mission requirements.</w:t>
      </w:r>
      <w:r>
        <w:t xml:space="preserve"> </w:t>
      </w:r>
      <w:r w:rsidR="00233CDA">
        <w:t>Another</w:t>
      </w:r>
      <w:r w:rsidR="001560B6">
        <w:t xml:space="preserve"> question is whether we need to define a new spectral emission mask when the configured channel is effectively larger than the actual allocation. Our premise view is that we can leverage </w:t>
      </w:r>
      <w:r w:rsidR="008851FB">
        <w:t xml:space="preserve">the </w:t>
      </w:r>
      <w:r w:rsidR="001560B6">
        <w:t xml:space="preserve">existing mask, otherwise this would basically be the same as specifying a new channel bandwidth. </w:t>
      </w:r>
      <w:r w:rsidR="00045505">
        <w:t>In principle, if</w:t>
      </w:r>
      <w:r w:rsidR="001560B6">
        <w:t xml:space="preserve"> the network schedules the corresponding number of RBs, then </w:t>
      </w:r>
      <w:r w:rsidR="008851FB">
        <w:t xml:space="preserve">the </w:t>
      </w:r>
      <w:r w:rsidR="001560B6">
        <w:t xml:space="preserve">resulting mask </w:t>
      </w:r>
      <w:r w:rsidR="00045505">
        <w:t>will</w:t>
      </w:r>
      <w:r w:rsidR="001560B6">
        <w:t xml:space="preserve"> scale to the used bandwidth</w:t>
      </w:r>
      <w:r w:rsidR="008851FB">
        <w:t>, as when scaling down the number of RBs, also the width of the transmitted spectrum is reduced by the same factor</w:t>
      </w:r>
      <w:r w:rsidR="001560B6">
        <w:t>.</w:t>
      </w:r>
      <w:r w:rsidR="008851FB">
        <w:t xml:space="preserve"> </w:t>
      </w:r>
      <w:r w:rsidR="001560B6">
        <w:t xml:space="preserve"> Nevertheless, it is worth emphasising that it becomes quite crucial to define/specify how many RBs the network can use and the size of guard bands</w:t>
      </w:r>
      <w:r w:rsidR="00045505">
        <w:t xml:space="preserve"> so that the resulting mask does not exceed anticipated emissions</w:t>
      </w:r>
      <w:r w:rsidR="001560B6">
        <w:t>.</w:t>
      </w:r>
      <w:r w:rsidR="00233CDA">
        <w:t xml:space="preserve"> Another critical issue is that a UE is typically tested for a set off standard channel bandwidths, so it is not entirely clear how emission requirements can be guaranteed for any arbitrary non-standard channel size. </w:t>
      </w:r>
    </w:p>
    <w:p w14:paraId="0FA5720E" w14:textId="77777777" w:rsidR="00206D85" w:rsidRDefault="00206D85" w:rsidP="000759ED">
      <w:pPr>
        <w:pStyle w:val="B1"/>
      </w:pPr>
    </w:p>
    <w:p w14:paraId="48EF77D0" w14:textId="11ED550C" w:rsidR="000B14F0" w:rsidRDefault="000B14F0" w:rsidP="000B14F0">
      <w:pPr>
        <w:pStyle w:val="Observation"/>
        <w:rPr>
          <w:noProof/>
        </w:rPr>
      </w:pPr>
      <w:r w:rsidRPr="00F67EF5">
        <w:rPr>
          <w:noProof/>
        </w:rPr>
        <w:t xml:space="preserve">Observation </w:t>
      </w:r>
      <w:r w:rsidR="00906293">
        <w:rPr>
          <w:noProof/>
        </w:rPr>
        <w:t>2</w:t>
      </w:r>
      <w:r w:rsidRPr="00F67EF5">
        <w:rPr>
          <w:noProof/>
        </w:rPr>
        <w:t>:</w:t>
      </w:r>
      <w:r w:rsidRPr="00F67EF5">
        <w:rPr>
          <w:noProof/>
        </w:rPr>
        <w:tab/>
        <w:t xml:space="preserve">Using the next </w:t>
      </w:r>
      <w:r>
        <w:rPr>
          <w:noProof/>
        </w:rPr>
        <w:t>larger</w:t>
      </w:r>
      <w:r w:rsidRPr="00F67EF5">
        <w:rPr>
          <w:noProof/>
        </w:rPr>
        <w:t xml:space="preserve"> </w:t>
      </w:r>
      <w:r w:rsidR="00CA5F06">
        <w:rPr>
          <w:noProof/>
        </w:rPr>
        <w:t xml:space="preserve">channel </w:t>
      </w:r>
      <w:r w:rsidRPr="00F67EF5">
        <w:rPr>
          <w:noProof/>
        </w:rPr>
        <w:t xml:space="preserve">bandwidth </w:t>
      </w:r>
      <w:r>
        <w:rPr>
          <w:noProof/>
        </w:rPr>
        <w:t xml:space="preserve">can be acceptable when the difference between the bandwidth of the operator’s spectrum and the next larger channel bandwidth is not large. </w:t>
      </w:r>
    </w:p>
    <w:p w14:paraId="7217DC5D" w14:textId="4B52AFB3" w:rsidR="00C04AB4" w:rsidRDefault="00C04AB4" w:rsidP="00C04AB4">
      <w:pPr>
        <w:pStyle w:val="Observation"/>
        <w:rPr>
          <w:noProof/>
        </w:rPr>
      </w:pPr>
      <w:r>
        <w:rPr>
          <w:noProof/>
        </w:rPr>
        <w:t xml:space="preserve">Observation </w:t>
      </w:r>
      <w:r w:rsidR="00906293">
        <w:rPr>
          <w:noProof/>
        </w:rPr>
        <w:t>3</w:t>
      </w:r>
      <w:r>
        <w:rPr>
          <w:noProof/>
        </w:rPr>
        <w:t>:</w:t>
      </w:r>
      <w:r>
        <w:rPr>
          <w:noProof/>
        </w:rPr>
        <w:tab/>
        <w:t xml:space="preserve">If the next larger channel is relatively large, then the overall utilisation becomes lower, which is especially the case for 30kHz SCS.. </w:t>
      </w:r>
    </w:p>
    <w:p w14:paraId="2967EF03" w14:textId="15BF9FB8" w:rsidR="00906293" w:rsidRDefault="008C35F9" w:rsidP="00381990">
      <w:pPr>
        <w:pStyle w:val="Observation"/>
        <w:rPr>
          <w:noProof/>
        </w:rPr>
      </w:pPr>
      <w:r>
        <w:rPr>
          <w:noProof/>
        </w:rPr>
        <w:t>Observation 4:</w:t>
      </w:r>
      <w:r>
        <w:rPr>
          <w:noProof/>
        </w:rPr>
        <w:tab/>
        <w:t>Using the next larger channel bandwidth require further 3GPP efforts to define number of schedulable RBs and to check ACS with the emission requirements.</w:t>
      </w:r>
      <w:r w:rsidR="00CA5F06">
        <w:rPr>
          <w:noProof/>
        </w:rPr>
        <w:t>.</w:t>
      </w:r>
    </w:p>
    <w:p w14:paraId="33503A39" w14:textId="77777777" w:rsidR="008D158F" w:rsidRDefault="008D158F" w:rsidP="008D158F">
      <w:pPr>
        <w:spacing w:after="0"/>
      </w:pPr>
    </w:p>
    <w:p w14:paraId="34C99636" w14:textId="74BCFD43" w:rsidR="008E7986" w:rsidRPr="00D20165" w:rsidRDefault="00906293" w:rsidP="008E7986">
      <w:pPr>
        <w:pStyle w:val="Heading1"/>
      </w:pPr>
      <w:r>
        <w:t>3</w:t>
      </w:r>
      <w:r w:rsidR="008E7986" w:rsidRPr="00D20165">
        <w:tab/>
        <w:t>Conclusions</w:t>
      </w:r>
    </w:p>
    <w:p w14:paraId="4625A5A3" w14:textId="77777777" w:rsidR="000E021F" w:rsidRDefault="001133AB" w:rsidP="007C2EB4">
      <w:r>
        <w:t>In this discussion paper we have presented our further considerations on how non-standard spectrum allocations can be used by operators to utilise existing spectrum in the most efficient way. Based on our considerations, there are several ways how it can be achieved without adding explicitly new channel</w:t>
      </w:r>
      <w:r w:rsidR="00EB6386">
        <w:t xml:space="preserve"> bandwidth</w:t>
      </w:r>
      <w:r w:rsidR="00CE6B42">
        <w:t>s</w:t>
      </w:r>
      <w:r>
        <w:t>, at least at the UE side</w:t>
      </w:r>
      <w:r w:rsidR="000E021F">
        <w:t>. One of the available solutions is usage of the next larger channel, which in principle can be applied even to legacy UEs.</w:t>
      </w:r>
    </w:p>
    <w:p w14:paraId="2C95BBE9" w14:textId="76B2D86C" w:rsidR="00356834" w:rsidRDefault="00E72324" w:rsidP="007C2EB4">
      <w:r w:rsidRPr="00D20165">
        <w:t xml:space="preserve"> </w:t>
      </w:r>
    </w:p>
    <w:p w14:paraId="18844B07" w14:textId="77777777" w:rsidR="00906293" w:rsidRPr="00F67EF5" w:rsidRDefault="00906293" w:rsidP="00906293">
      <w:pPr>
        <w:pStyle w:val="Observation"/>
        <w:rPr>
          <w:noProof/>
        </w:rPr>
      </w:pPr>
      <w:r w:rsidRPr="00F67EF5">
        <w:rPr>
          <w:noProof/>
        </w:rPr>
        <w:t xml:space="preserve">Observation </w:t>
      </w:r>
      <w:r>
        <w:rPr>
          <w:noProof/>
        </w:rPr>
        <w:t>1</w:t>
      </w:r>
      <w:r w:rsidRPr="00F67EF5">
        <w:rPr>
          <w:noProof/>
        </w:rPr>
        <w:t>:</w:t>
      </w:r>
      <w:r w:rsidRPr="00F67EF5">
        <w:rPr>
          <w:noProof/>
        </w:rPr>
        <w:tab/>
        <w:t xml:space="preserve">Using the next smaller </w:t>
      </w:r>
      <w:r>
        <w:rPr>
          <w:noProof/>
        </w:rPr>
        <w:t xml:space="preserve">channel </w:t>
      </w:r>
      <w:r w:rsidRPr="00F67EF5">
        <w:rPr>
          <w:noProof/>
        </w:rPr>
        <w:t xml:space="preserve">bandwidth </w:t>
      </w:r>
      <w:r>
        <w:rPr>
          <w:noProof/>
        </w:rPr>
        <w:t xml:space="preserve">can be acceptable when the difference between the bandwidth of the operator’s spectrum and the next lower channel bandwidth is not large. </w:t>
      </w:r>
    </w:p>
    <w:p w14:paraId="30ABA280" w14:textId="77777777" w:rsidR="00906293" w:rsidRDefault="00906293" w:rsidP="00906293">
      <w:pPr>
        <w:pStyle w:val="Observation"/>
        <w:rPr>
          <w:noProof/>
        </w:rPr>
      </w:pPr>
      <w:r w:rsidRPr="00F67EF5">
        <w:rPr>
          <w:noProof/>
        </w:rPr>
        <w:t xml:space="preserve">Observation </w:t>
      </w:r>
      <w:r>
        <w:rPr>
          <w:noProof/>
        </w:rPr>
        <w:t>2</w:t>
      </w:r>
      <w:r w:rsidRPr="00F67EF5">
        <w:rPr>
          <w:noProof/>
        </w:rPr>
        <w:t>:</w:t>
      </w:r>
      <w:r w:rsidRPr="00F67EF5">
        <w:rPr>
          <w:noProof/>
        </w:rPr>
        <w:tab/>
        <w:t xml:space="preserve">Using the next </w:t>
      </w:r>
      <w:r>
        <w:rPr>
          <w:noProof/>
        </w:rPr>
        <w:t>larger</w:t>
      </w:r>
      <w:r w:rsidRPr="00F67EF5">
        <w:rPr>
          <w:noProof/>
        </w:rPr>
        <w:t xml:space="preserve"> </w:t>
      </w:r>
      <w:r>
        <w:rPr>
          <w:noProof/>
        </w:rPr>
        <w:t xml:space="preserve">channel </w:t>
      </w:r>
      <w:r w:rsidRPr="00F67EF5">
        <w:rPr>
          <w:noProof/>
        </w:rPr>
        <w:t xml:space="preserve">bandwidth </w:t>
      </w:r>
      <w:r>
        <w:rPr>
          <w:noProof/>
        </w:rPr>
        <w:t xml:space="preserve">can be acceptable when the difference between the bandwidth of the operator’s spectrum and the next larger channel bandwidth is not large. </w:t>
      </w:r>
    </w:p>
    <w:p w14:paraId="4385DAD9" w14:textId="77777777" w:rsidR="00906293" w:rsidRDefault="00906293" w:rsidP="00906293">
      <w:pPr>
        <w:pStyle w:val="Observation"/>
        <w:rPr>
          <w:noProof/>
        </w:rPr>
      </w:pPr>
      <w:r>
        <w:rPr>
          <w:noProof/>
        </w:rPr>
        <w:t>Observation 3:</w:t>
      </w:r>
      <w:r>
        <w:rPr>
          <w:noProof/>
        </w:rPr>
        <w:tab/>
        <w:t xml:space="preserve">If the next larger channel is relatively large, then the overall utilisation becomes lower, which is especially the case for 30kHz SCS.. </w:t>
      </w:r>
    </w:p>
    <w:p w14:paraId="01298237" w14:textId="6A59E327" w:rsidR="00906293" w:rsidRDefault="00906293" w:rsidP="00906293">
      <w:pPr>
        <w:pStyle w:val="Observation"/>
        <w:rPr>
          <w:noProof/>
        </w:rPr>
      </w:pPr>
      <w:r>
        <w:rPr>
          <w:noProof/>
        </w:rPr>
        <w:t>Observation 4:</w:t>
      </w:r>
      <w:r>
        <w:rPr>
          <w:noProof/>
        </w:rPr>
        <w:tab/>
        <w:t xml:space="preserve">Using the next larger channel bandwidth require </w:t>
      </w:r>
      <w:r w:rsidR="008C35F9">
        <w:rPr>
          <w:noProof/>
        </w:rPr>
        <w:t>further</w:t>
      </w:r>
      <w:r>
        <w:rPr>
          <w:noProof/>
        </w:rPr>
        <w:t xml:space="preserve"> 3GPP efforts to define number of schedulable RBs and to check ACS with the emission requirements.</w:t>
      </w:r>
    </w:p>
    <w:p w14:paraId="034F351E" w14:textId="77777777" w:rsidR="00413124" w:rsidRDefault="00413124" w:rsidP="007C2EB4"/>
    <w:p w14:paraId="0756AA59" w14:textId="4F2FC94A" w:rsidR="00356834" w:rsidRDefault="00356834" w:rsidP="00356834">
      <w:pPr>
        <w:pStyle w:val="TOC1"/>
        <w:rPr>
          <w:noProof/>
        </w:rPr>
      </w:pPr>
      <w:r w:rsidRPr="0019748B">
        <w:rPr>
          <w:noProof/>
        </w:rPr>
        <w:t>Proposal</w:t>
      </w:r>
      <w:r w:rsidR="00906293">
        <w:rPr>
          <w:noProof/>
        </w:rPr>
        <w:t xml:space="preserve"> 1</w:t>
      </w:r>
      <w:r w:rsidRPr="0019748B">
        <w:rPr>
          <w:noProof/>
        </w:rPr>
        <w:t>:</w:t>
      </w:r>
      <w:r w:rsidRPr="0019748B">
        <w:rPr>
          <w:rFonts w:asciiTheme="minorHAnsi" w:eastAsiaTheme="minorEastAsia" w:hAnsiTheme="minorHAnsi" w:cstheme="minorBidi"/>
          <w:b w:val="0"/>
          <w:bCs w:val="0"/>
          <w:noProof/>
          <w:sz w:val="24"/>
          <w:szCs w:val="24"/>
          <w:lang w:val="en-US"/>
        </w:rPr>
        <w:tab/>
      </w:r>
      <w:r>
        <w:rPr>
          <w:noProof/>
        </w:rPr>
        <w:t>Capture in the SI TR further technical details on how</w:t>
      </w:r>
      <w:r w:rsidR="004267DF">
        <w:rPr>
          <w:noProof/>
        </w:rPr>
        <w:t xml:space="preserve"> </w:t>
      </w:r>
      <w:r>
        <w:rPr>
          <w:noProof/>
        </w:rPr>
        <w:t>next larger channel</w:t>
      </w:r>
      <w:r w:rsidR="00906293">
        <w:rPr>
          <w:noProof/>
        </w:rPr>
        <w:t xml:space="preserve"> solution </w:t>
      </w:r>
      <w:r>
        <w:rPr>
          <w:noProof/>
        </w:rPr>
        <w:t>can be used to support irregular channel bandwidth.</w:t>
      </w:r>
      <w:r w:rsidRPr="0019748B">
        <w:rPr>
          <w:noProof/>
        </w:rPr>
        <w:t xml:space="preserve"> </w:t>
      </w:r>
    </w:p>
    <w:p w14:paraId="7749F7D1" w14:textId="484C75AA" w:rsidR="00906293" w:rsidRPr="0019748B" w:rsidRDefault="00906293" w:rsidP="00356834">
      <w:pPr>
        <w:pStyle w:val="TOC1"/>
        <w:rPr>
          <w:noProof/>
        </w:rPr>
      </w:pPr>
      <w:r>
        <w:rPr>
          <w:noProof/>
        </w:rPr>
        <w:t>Proposal 2:</w:t>
      </w:r>
      <w:r>
        <w:rPr>
          <w:noProof/>
        </w:rPr>
        <w:tab/>
        <w:t xml:space="preserve">For the next larger channel solution, RAN WG4 should work further on how to ensure emission and ACS requiremets. </w:t>
      </w:r>
    </w:p>
    <w:p w14:paraId="514B60E4" w14:textId="06889691" w:rsidR="009E55FD" w:rsidRPr="007C2EB4" w:rsidRDefault="009E55FD" w:rsidP="007C2EB4"/>
    <w:p w14:paraId="04895669" w14:textId="735F03C6" w:rsidR="00D741FE" w:rsidRDefault="00D741FE" w:rsidP="00E72324">
      <w:pPr>
        <w:rPr>
          <w:color w:val="FF0000"/>
        </w:rPr>
      </w:pPr>
    </w:p>
    <w:p w14:paraId="1F20AA09" w14:textId="266CA757" w:rsidR="008C35F9" w:rsidRDefault="008C35F9" w:rsidP="00E72324">
      <w:pPr>
        <w:rPr>
          <w:color w:val="FF0000"/>
        </w:rPr>
      </w:pPr>
    </w:p>
    <w:p w14:paraId="315C76D8" w14:textId="77777777" w:rsidR="008C35F9" w:rsidRPr="00196EAF" w:rsidRDefault="008C35F9" w:rsidP="00E72324">
      <w:pPr>
        <w:rPr>
          <w:color w:val="FF0000"/>
        </w:rPr>
      </w:pPr>
    </w:p>
    <w:bookmarkEnd w:id="0"/>
    <w:p w14:paraId="446075F6" w14:textId="5326CEF1" w:rsidR="001A4A9A" w:rsidRPr="00D20165" w:rsidRDefault="008007D9" w:rsidP="001A4A9A">
      <w:pPr>
        <w:pStyle w:val="Heading1"/>
      </w:pPr>
      <w:r w:rsidRPr="00D20165">
        <w:lastRenderedPageBreak/>
        <w:t>5</w:t>
      </w:r>
      <w:r w:rsidR="001A4A9A" w:rsidRPr="00D20165">
        <w:tab/>
        <w:t>References</w:t>
      </w:r>
    </w:p>
    <w:p w14:paraId="7348505C" w14:textId="08D0A894" w:rsidR="00BF73CB" w:rsidRDefault="00BF73CB" w:rsidP="002315A5">
      <w:pPr>
        <w:pStyle w:val="EX"/>
      </w:pPr>
      <w:bookmarkStart w:id="1" w:name="_Ref54370364"/>
      <w:r w:rsidRPr="00BF73CB">
        <w:t>RP-201722</w:t>
      </w:r>
      <w:r>
        <w:t>, "</w:t>
      </w:r>
      <w:r w:rsidRPr="00BF73CB">
        <w:t>Introduction of channel bandwidths 35MHz and 45MHz for NR FR1</w:t>
      </w:r>
      <w:r>
        <w:t>", Huawei</w:t>
      </w:r>
      <w:bookmarkEnd w:id="1"/>
      <w:r>
        <w:t xml:space="preserve"> </w:t>
      </w:r>
    </w:p>
    <w:p w14:paraId="4B27E14D" w14:textId="7A99A47D" w:rsidR="002315A5" w:rsidRDefault="002315A5" w:rsidP="002315A5">
      <w:pPr>
        <w:pStyle w:val="EX"/>
      </w:pPr>
      <w:bookmarkStart w:id="2" w:name="_Ref54370374"/>
      <w:r w:rsidRPr="002315A5">
        <w:t>RP-202103</w:t>
      </w:r>
      <w:r>
        <w:t xml:space="preserve">, "New SID: Study on Efficient utilization of licensed </w:t>
      </w:r>
      <w:r>
        <w:tab/>
        <w:t>spectrum that is not aligned with existing NR channel bandwidths", T-Mobile USA, Ericsson</w:t>
      </w:r>
      <w:bookmarkEnd w:id="2"/>
    </w:p>
    <w:p w14:paraId="4B66D901" w14:textId="21951983" w:rsidR="00C76D42" w:rsidRPr="00D20165" w:rsidRDefault="00C76D42" w:rsidP="002315A5">
      <w:pPr>
        <w:pStyle w:val="EX"/>
        <w:numPr>
          <w:ilvl w:val="0"/>
          <w:numId w:val="0"/>
        </w:numPr>
        <w:ind w:left="369"/>
      </w:pPr>
    </w:p>
    <w:sectPr w:rsidR="00C76D42" w:rsidRPr="00D20165">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407039" w14:textId="77777777" w:rsidR="002B42CA" w:rsidRDefault="002B42CA">
      <w:r>
        <w:separator/>
      </w:r>
    </w:p>
  </w:endnote>
  <w:endnote w:type="continuationSeparator" w:id="0">
    <w:p w14:paraId="34EE36C2" w14:textId="77777777" w:rsidR="002B42CA" w:rsidRDefault="002B4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5002EFF" w:usb1="C000E47F" w:usb2="0000002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808DF1" w14:textId="77777777" w:rsidR="002B42CA" w:rsidRDefault="002B42CA">
      <w:r>
        <w:separator/>
      </w:r>
    </w:p>
  </w:footnote>
  <w:footnote w:type="continuationSeparator" w:id="0">
    <w:p w14:paraId="68BC19DD" w14:textId="77777777" w:rsidR="002B42CA" w:rsidRDefault="002B42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
  </w:num>
  <w:num w:numId="6">
    <w:abstractNumId w:val="2"/>
  </w:num>
  <w:num w:numId="7">
    <w:abstractNumId w:val="6"/>
  </w:num>
  <w:num w:numId="8">
    <w:abstractNumId w:val="3"/>
  </w:num>
  <w:num w:numId="9">
    <w:abstractNumId w:val="5"/>
  </w:num>
  <w:num w:numId="10">
    <w:abstractNumId w:val="2"/>
  </w:num>
  <w:num w:numId="11">
    <w:abstractNumId w:val="7"/>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AE"/>
    <w:rsid w:val="00015E4F"/>
    <w:rsid w:val="000255A7"/>
    <w:rsid w:val="00025CDD"/>
    <w:rsid w:val="00033397"/>
    <w:rsid w:val="00040095"/>
    <w:rsid w:val="00043CEE"/>
    <w:rsid w:val="00045505"/>
    <w:rsid w:val="00051834"/>
    <w:rsid w:val="00052248"/>
    <w:rsid w:val="00054A22"/>
    <w:rsid w:val="00055B36"/>
    <w:rsid w:val="00061E44"/>
    <w:rsid w:val="00062023"/>
    <w:rsid w:val="000655A6"/>
    <w:rsid w:val="000759ED"/>
    <w:rsid w:val="00080512"/>
    <w:rsid w:val="000837B8"/>
    <w:rsid w:val="0009755D"/>
    <w:rsid w:val="00097BFB"/>
    <w:rsid w:val="000A2DD7"/>
    <w:rsid w:val="000A365D"/>
    <w:rsid w:val="000A3ADF"/>
    <w:rsid w:val="000A7E3A"/>
    <w:rsid w:val="000B14F0"/>
    <w:rsid w:val="000B35AA"/>
    <w:rsid w:val="000C47C3"/>
    <w:rsid w:val="000C7B5A"/>
    <w:rsid w:val="000D58AB"/>
    <w:rsid w:val="000E021F"/>
    <w:rsid w:val="000F06B2"/>
    <w:rsid w:val="00104BC6"/>
    <w:rsid w:val="00107896"/>
    <w:rsid w:val="001133AB"/>
    <w:rsid w:val="001152D7"/>
    <w:rsid w:val="0012087C"/>
    <w:rsid w:val="00122B1F"/>
    <w:rsid w:val="00124FD7"/>
    <w:rsid w:val="00133525"/>
    <w:rsid w:val="00136FA6"/>
    <w:rsid w:val="00146EA0"/>
    <w:rsid w:val="00152B26"/>
    <w:rsid w:val="001560B6"/>
    <w:rsid w:val="001579A6"/>
    <w:rsid w:val="00157FC7"/>
    <w:rsid w:val="00175496"/>
    <w:rsid w:val="001823BF"/>
    <w:rsid w:val="00196EAF"/>
    <w:rsid w:val="0019748B"/>
    <w:rsid w:val="001A29F8"/>
    <w:rsid w:val="001A4A9A"/>
    <w:rsid w:val="001A4C42"/>
    <w:rsid w:val="001C1EC7"/>
    <w:rsid w:val="001C21C3"/>
    <w:rsid w:val="001D02C2"/>
    <w:rsid w:val="001E7EB8"/>
    <w:rsid w:val="001F0C1D"/>
    <w:rsid w:val="001F1132"/>
    <w:rsid w:val="001F168B"/>
    <w:rsid w:val="001F61DB"/>
    <w:rsid w:val="001F6FEF"/>
    <w:rsid w:val="00203C41"/>
    <w:rsid w:val="00206D85"/>
    <w:rsid w:val="00207D30"/>
    <w:rsid w:val="00223880"/>
    <w:rsid w:val="00227ABB"/>
    <w:rsid w:val="002315A5"/>
    <w:rsid w:val="00233CDA"/>
    <w:rsid w:val="002347A2"/>
    <w:rsid w:val="00240197"/>
    <w:rsid w:val="002450D8"/>
    <w:rsid w:val="00247926"/>
    <w:rsid w:val="002513AD"/>
    <w:rsid w:val="00253BAB"/>
    <w:rsid w:val="002675F0"/>
    <w:rsid w:val="00276EE4"/>
    <w:rsid w:val="002954D8"/>
    <w:rsid w:val="002B42CA"/>
    <w:rsid w:val="002B6339"/>
    <w:rsid w:val="002E00EE"/>
    <w:rsid w:val="002E6E67"/>
    <w:rsid w:val="002E7463"/>
    <w:rsid w:val="002F057E"/>
    <w:rsid w:val="002F2CF6"/>
    <w:rsid w:val="0031034F"/>
    <w:rsid w:val="0031063C"/>
    <w:rsid w:val="00313552"/>
    <w:rsid w:val="003172DC"/>
    <w:rsid w:val="00336AC2"/>
    <w:rsid w:val="0035462D"/>
    <w:rsid w:val="00356834"/>
    <w:rsid w:val="00360686"/>
    <w:rsid w:val="003631EB"/>
    <w:rsid w:val="00366A6D"/>
    <w:rsid w:val="003701AC"/>
    <w:rsid w:val="003753AF"/>
    <w:rsid w:val="003765B8"/>
    <w:rsid w:val="0038066E"/>
    <w:rsid w:val="00381990"/>
    <w:rsid w:val="00394D23"/>
    <w:rsid w:val="00396185"/>
    <w:rsid w:val="003A0483"/>
    <w:rsid w:val="003C3971"/>
    <w:rsid w:val="003C564B"/>
    <w:rsid w:val="003D2F32"/>
    <w:rsid w:val="003E7753"/>
    <w:rsid w:val="003F1D6E"/>
    <w:rsid w:val="003F27D4"/>
    <w:rsid w:val="003F7F27"/>
    <w:rsid w:val="00413124"/>
    <w:rsid w:val="00420C77"/>
    <w:rsid w:val="00423334"/>
    <w:rsid w:val="004267DF"/>
    <w:rsid w:val="004345EC"/>
    <w:rsid w:val="00473A1A"/>
    <w:rsid w:val="004826A9"/>
    <w:rsid w:val="00482CA3"/>
    <w:rsid w:val="004B2602"/>
    <w:rsid w:val="004B5103"/>
    <w:rsid w:val="004C1601"/>
    <w:rsid w:val="004C6E0D"/>
    <w:rsid w:val="004D034A"/>
    <w:rsid w:val="004D3578"/>
    <w:rsid w:val="004D40A9"/>
    <w:rsid w:val="004E213A"/>
    <w:rsid w:val="004F0988"/>
    <w:rsid w:val="004F3340"/>
    <w:rsid w:val="004F3E3D"/>
    <w:rsid w:val="005020AC"/>
    <w:rsid w:val="00504189"/>
    <w:rsid w:val="00521C56"/>
    <w:rsid w:val="00526CFF"/>
    <w:rsid w:val="0053388B"/>
    <w:rsid w:val="00535773"/>
    <w:rsid w:val="00537AB4"/>
    <w:rsid w:val="00543E6C"/>
    <w:rsid w:val="00551FC5"/>
    <w:rsid w:val="00565087"/>
    <w:rsid w:val="00570DD5"/>
    <w:rsid w:val="005721BB"/>
    <w:rsid w:val="00572E14"/>
    <w:rsid w:val="00580798"/>
    <w:rsid w:val="005856CE"/>
    <w:rsid w:val="00593DA4"/>
    <w:rsid w:val="005973BE"/>
    <w:rsid w:val="005A2A65"/>
    <w:rsid w:val="005A3F5C"/>
    <w:rsid w:val="005A5986"/>
    <w:rsid w:val="005D2E01"/>
    <w:rsid w:val="005D7526"/>
    <w:rsid w:val="005E2535"/>
    <w:rsid w:val="005E69AE"/>
    <w:rsid w:val="00602AEA"/>
    <w:rsid w:val="00607E3C"/>
    <w:rsid w:val="00614FDF"/>
    <w:rsid w:val="006246A7"/>
    <w:rsid w:val="0062595A"/>
    <w:rsid w:val="00634730"/>
    <w:rsid w:val="0063543D"/>
    <w:rsid w:val="00647114"/>
    <w:rsid w:val="00654D3E"/>
    <w:rsid w:val="00662404"/>
    <w:rsid w:val="006675E6"/>
    <w:rsid w:val="006704EC"/>
    <w:rsid w:val="0068207C"/>
    <w:rsid w:val="0069226A"/>
    <w:rsid w:val="006A13A8"/>
    <w:rsid w:val="006A323F"/>
    <w:rsid w:val="006B30D0"/>
    <w:rsid w:val="006C0661"/>
    <w:rsid w:val="006C3D95"/>
    <w:rsid w:val="006D43A6"/>
    <w:rsid w:val="006D713E"/>
    <w:rsid w:val="006E5C86"/>
    <w:rsid w:val="007037D0"/>
    <w:rsid w:val="00713C44"/>
    <w:rsid w:val="00715490"/>
    <w:rsid w:val="00716FAD"/>
    <w:rsid w:val="00721F55"/>
    <w:rsid w:val="00732E98"/>
    <w:rsid w:val="007345D3"/>
    <w:rsid w:val="00734A5B"/>
    <w:rsid w:val="007368AE"/>
    <w:rsid w:val="00737DB9"/>
    <w:rsid w:val="0074026F"/>
    <w:rsid w:val="007429F6"/>
    <w:rsid w:val="00744E76"/>
    <w:rsid w:val="00752198"/>
    <w:rsid w:val="0075242E"/>
    <w:rsid w:val="00753881"/>
    <w:rsid w:val="00765D86"/>
    <w:rsid w:val="007713D4"/>
    <w:rsid w:val="00774DA4"/>
    <w:rsid w:val="00774F1E"/>
    <w:rsid w:val="00781A53"/>
    <w:rsid w:val="00781D07"/>
    <w:rsid w:val="00781F0F"/>
    <w:rsid w:val="00782965"/>
    <w:rsid w:val="0078318F"/>
    <w:rsid w:val="00792BC0"/>
    <w:rsid w:val="007A0324"/>
    <w:rsid w:val="007A5AAB"/>
    <w:rsid w:val="007A634D"/>
    <w:rsid w:val="007B600E"/>
    <w:rsid w:val="007C24D1"/>
    <w:rsid w:val="007C2EB4"/>
    <w:rsid w:val="007C42E3"/>
    <w:rsid w:val="007D6D85"/>
    <w:rsid w:val="007E405D"/>
    <w:rsid w:val="007F0F4A"/>
    <w:rsid w:val="007F23A8"/>
    <w:rsid w:val="008007D9"/>
    <w:rsid w:val="008028A4"/>
    <w:rsid w:val="00802901"/>
    <w:rsid w:val="00820B25"/>
    <w:rsid w:val="0082761D"/>
    <w:rsid w:val="00830747"/>
    <w:rsid w:val="0083621F"/>
    <w:rsid w:val="00843D2B"/>
    <w:rsid w:val="00865DDB"/>
    <w:rsid w:val="008768CA"/>
    <w:rsid w:val="008851FB"/>
    <w:rsid w:val="008929F3"/>
    <w:rsid w:val="008A311D"/>
    <w:rsid w:val="008B0466"/>
    <w:rsid w:val="008B4D9E"/>
    <w:rsid w:val="008C35F9"/>
    <w:rsid w:val="008C384C"/>
    <w:rsid w:val="008D158F"/>
    <w:rsid w:val="008D5675"/>
    <w:rsid w:val="008E1FF8"/>
    <w:rsid w:val="008E7986"/>
    <w:rsid w:val="008F0727"/>
    <w:rsid w:val="008F6E93"/>
    <w:rsid w:val="00901C92"/>
    <w:rsid w:val="0090271F"/>
    <w:rsid w:val="00902E23"/>
    <w:rsid w:val="00906293"/>
    <w:rsid w:val="00906D6D"/>
    <w:rsid w:val="009114D7"/>
    <w:rsid w:val="0091348E"/>
    <w:rsid w:val="00915525"/>
    <w:rsid w:val="00916BC2"/>
    <w:rsid w:val="00917CCB"/>
    <w:rsid w:val="00926846"/>
    <w:rsid w:val="0094205B"/>
    <w:rsid w:val="00942EC2"/>
    <w:rsid w:val="009536FA"/>
    <w:rsid w:val="009557AC"/>
    <w:rsid w:val="00963494"/>
    <w:rsid w:val="00972D6A"/>
    <w:rsid w:val="00973F6E"/>
    <w:rsid w:val="009826B3"/>
    <w:rsid w:val="00996113"/>
    <w:rsid w:val="00997281"/>
    <w:rsid w:val="009A2BFA"/>
    <w:rsid w:val="009A6DA8"/>
    <w:rsid w:val="009D2A34"/>
    <w:rsid w:val="009E55FD"/>
    <w:rsid w:val="009E6E52"/>
    <w:rsid w:val="009F1642"/>
    <w:rsid w:val="009F37B7"/>
    <w:rsid w:val="009F5E43"/>
    <w:rsid w:val="009F6F20"/>
    <w:rsid w:val="00A1046F"/>
    <w:rsid w:val="00A10F02"/>
    <w:rsid w:val="00A1575E"/>
    <w:rsid w:val="00A15927"/>
    <w:rsid w:val="00A164B4"/>
    <w:rsid w:val="00A16F12"/>
    <w:rsid w:val="00A178D5"/>
    <w:rsid w:val="00A2361B"/>
    <w:rsid w:val="00A26956"/>
    <w:rsid w:val="00A32AF0"/>
    <w:rsid w:val="00A42C78"/>
    <w:rsid w:val="00A53724"/>
    <w:rsid w:val="00A55310"/>
    <w:rsid w:val="00A6171D"/>
    <w:rsid w:val="00A62A0A"/>
    <w:rsid w:val="00A73129"/>
    <w:rsid w:val="00A75A83"/>
    <w:rsid w:val="00A7650B"/>
    <w:rsid w:val="00A82346"/>
    <w:rsid w:val="00A91741"/>
    <w:rsid w:val="00A92BA1"/>
    <w:rsid w:val="00A96AA9"/>
    <w:rsid w:val="00AB03E7"/>
    <w:rsid w:val="00AB6BDA"/>
    <w:rsid w:val="00AC6BC6"/>
    <w:rsid w:val="00AD081C"/>
    <w:rsid w:val="00AD3F96"/>
    <w:rsid w:val="00AE27BF"/>
    <w:rsid w:val="00AE3797"/>
    <w:rsid w:val="00B03B5E"/>
    <w:rsid w:val="00B15449"/>
    <w:rsid w:val="00B17447"/>
    <w:rsid w:val="00B36419"/>
    <w:rsid w:val="00B474C6"/>
    <w:rsid w:val="00B55820"/>
    <w:rsid w:val="00B61020"/>
    <w:rsid w:val="00B92610"/>
    <w:rsid w:val="00B93086"/>
    <w:rsid w:val="00BA13F1"/>
    <w:rsid w:val="00BA19ED"/>
    <w:rsid w:val="00BA300B"/>
    <w:rsid w:val="00BA4499"/>
    <w:rsid w:val="00BA4B8D"/>
    <w:rsid w:val="00BB2F30"/>
    <w:rsid w:val="00BB38C0"/>
    <w:rsid w:val="00BB6457"/>
    <w:rsid w:val="00BC0F7D"/>
    <w:rsid w:val="00BC2F5A"/>
    <w:rsid w:val="00BD71ED"/>
    <w:rsid w:val="00BE3255"/>
    <w:rsid w:val="00BF128E"/>
    <w:rsid w:val="00BF73CB"/>
    <w:rsid w:val="00C04AB4"/>
    <w:rsid w:val="00C06E73"/>
    <w:rsid w:val="00C1496A"/>
    <w:rsid w:val="00C33079"/>
    <w:rsid w:val="00C45231"/>
    <w:rsid w:val="00C50543"/>
    <w:rsid w:val="00C660AB"/>
    <w:rsid w:val="00C72833"/>
    <w:rsid w:val="00C731FC"/>
    <w:rsid w:val="00C74791"/>
    <w:rsid w:val="00C76D42"/>
    <w:rsid w:val="00C80F1D"/>
    <w:rsid w:val="00C93F40"/>
    <w:rsid w:val="00CA3D0C"/>
    <w:rsid w:val="00CA5F06"/>
    <w:rsid w:val="00CC2205"/>
    <w:rsid w:val="00CC4603"/>
    <w:rsid w:val="00CE2FAD"/>
    <w:rsid w:val="00CE6B42"/>
    <w:rsid w:val="00CF20E3"/>
    <w:rsid w:val="00CF3390"/>
    <w:rsid w:val="00CF6DC7"/>
    <w:rsid w:val="00CF7363"/>
    <w:rsid w:val="00D02DB5"/>
    <w:rsid w:val="00D13BD1"/>
    <w:rsid w:val="00D1577A"/>
    <w:rsid w:val="00D20165"/>
    <w:rsid w:val="00D309CC"/>
    <w:rsid w:val="00D45EE8"/>
    <w:rsid w:val="00D46431"/>
    <w:rsid w:val="00D47864"/>
    <w:rsid w:val="00D554AC"/>
    <w:rsid w:val="00D56A52"/>
    <w:rsid w:val="00D57972"/>
    <w:rsid w:val="00D579F1"/>
    <w:rsid w:val="00D675A9"/>
    <w:rsid w:val="00D738D6"/>
    <w:rsid w:val="00D741FE"/>
    <w:rsid w:val="00D755EB"/>
    <w:rsid w:val="00D87E00"/>
    <w:rsid w:val="00D9134D"/>
    <w:rsid w:val="00DA2D8C"/>
    <w:rsid w:val="00DA7A03"/>
    <w:rsid w:val="00DB1818"/>
    <w:rsid w:val="00DC309B"/>
    <w:rsid w:val="00DC4DA2"/>
    <w:rsid w:val="00DC4F54"/>
    <w:rsid w:val="00DD31F9"/>
    <w:rsid w:val="00DD4C17"/>
    <w:rsid w:val="00DD7DBA"/>
    <w:rsid w:val="00DE0988"/>
    <w:rsid w:val="00DF2B1F"/>
    <w:rsid w:val="00DF2F1F"/>
    <w:rsid w:val="00DF6189"/>
    <w:rsid w:val="00DF62CD"/>
    <w:rsid w:val="00E03542"/>
    <w:rsid w:val="00E05F92"/>
    <w:rsid w:val="00E16509"/>
    <w:rsid w:val="00E22308"/>
    <w:rsid w:val="00E255F5"/>
    <w:rsid w:val="00E3104A"/>
    <w:rsid w:val="00E3192D"/>
    <w:rsid w:val="00E3300C"/>
    <w:rsid w:val="00E341B3"/>
    <w:rsid w:val="00E4295C"/>
    <w:rsid w:val="00E44582"/>
    <w:rsid w:val="00E4751A"/>
    <w:rsid w:val="00E50039"/>
    <w:rsid w:val="00E52814"/>
    <w:rsid w:val="00E54DB8"/>
    <w:rsid w:val="00E64FAA"/>
    <w:rsid w:val="00E65E13"/>
    <w:rsid w:val="00E72324"/>
    <w:rsid w:val="00E72ABE"/>
    <w:rsid w:val="00E76A34"/>
    <w:rsid w:val="00E77645"/>
    <w:rsid w:val="00E90DAA"/>
    <w:rsid w:val="00EA0C19"/>
    <w:rsid w:val="00EA7CBD"/>
    <w:rsid w:val="00EB5B83"/>
    <w:rsid w:val="00EB6386"/>
    <w:rsid w:val="00EC4A25"/>
    <w:rsid w:val="00ED77BD"/>
    <w:rsid w:val="00EE3D6E"/>
    <w:rsid w:val="00EE5618"/>
    <w:rsid w:val="00EE5AA7"/>
    <w:rsid w:val="00EF0EB0"/>
    <w:rsid w:val="00EF4C60"/>
    <w:rsid w:val="00F025A2"/>
    <w:rsid w:val="00F04712"/>
    <w:rsid w:val="00F04CE1"/>
    <w:rsid w:val="00F06D17"/>
    <w:rsid w:val="00F0730C"/>
    <w:rsid w:val="00F169DB"/>
    <w:rsid w:val="00F209F3"/>
    <w:rsid w:val="00F20E92"/>
    <w:rsid w:val="00F21311"/>
    <w:rsid w:val="00F22EC7"/>
    <w:rsid w:val="00F25C01"/>
    <w:rsid w:val="00F325C8"/>
    <w:rsid w:val="00F3466B"/>
    <w:rsid w:val="00F5250F"/>
    <w:rsid w:val="00F55388"/>
    <w:rsid w:val="00F62AEB"/>
    <w:rsid w:val="00F653B8"/>
    <w:rsid w:val="00F67EF5"/>
    <w:rsid w:val="00F70647"/>
    <w:rsid w:val="00F729E9"/>
    <w:rsid w:val="00F84751"/>
    <w:rsid w:val="00F96730"/>
    <w:rsid w:val="00F97B58"/>
    <w:rsid w:val="00FA0D4A"/>
    <w:rsid w:val="00FA1266"/>
    <w:rsid w:val="00FA2236"/>
    <w:rsid w:val="00FA5C0A"/>
    <w:rsid w:val="00FB31CA"/>
    <w:rsid w:val="00FB49CF"/>
    <w:rsid w:val="00FC1192"/>
    <w:rsid w:val="00FC4484"/>
    <w:rsid w:val="00FD5D83"/>
    <w:rsid w:val="00FE44D7"/>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19</TotalTime>
  <Pages>4</Pages>
  <Words>1448</Words>
  <Characters>8257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9686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7</cp:revision>
  <cp:lastPrinted>2019-02-25T14:05:00Z</cp:lastPrinted>
  <dcterms:created xsi:type="dcterms:W3CDTF">2021-04-02T12:10:00Z</dcterms:created>
  <dcterms:modified xsi:type="dcterms:W3CDTF">2021-04-02T16:12:00Z</dcterms:modified>
  <cp:category/>
</cp:coreProperties>
</file>